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AD4A8F">
      <w:pPr>
        <w:keepNext/>
        <w:keepLines/>
        <w:widowControl w:val="0"/>
        <w:numPr>
          <w:ilvl w:val="0"/>
          <w:numId w:val="1"/>
        </w:numPr>
        <w:spacing w:before="340" w:after="330" w:line="576" w:lineRule="auto"/>
        <w:jc w:val="center"/>
        <w:outlineLvl w:val="0"/>
        <w:rPr>
          <w:rFonts w:hint="eastAsia" w:ascii="黑体" w:hAnsi="黑体" w:eastAsia="黑体" w:cs="黑体"/>
          <w:b/>
          <w:kern w:val="0"/>
          <w:sz w:val="32"/>
          <w:szCs w:val="32"/>
          <w:lang w:val="en-US" w:eastAsia="zh-CN" w:bidi="ar-SA"/>
        </w:rPr>
      </w:pPr>
      <w:bookmarkStart w:id="0" w:name="_Toc242972577"/>
      <w:bookmarkStart w:id="12" w:name="_GoBack"/>
      <w:bookmarkEnd w:id="12"/>
      <w:r>
        <w:rPr>
          <w:rFonts w:hint="eastAsia" w:ascii="黑体" w:hAnsi="黑体" w:eastAsia="黑体" w:cs="黑体"/>
          <w:b/>
          <w:kern w:val="0"/>
          <w:sz w:val="32"/>
          <w:szCs w:val="32"/>
          <w:lang w:val="en-US" w:eastAsia="zh-CN" w:bidi="ar-SA"/>
        </w:rPr>
        <w:t>采购需求</w:t>
      </w:r>
      <w:bookmarkEnd w:id="0"/>
    </w:p>
    <w:p w14:paraId="6C12115C">
      <w:pPr>
        <w:widowControl w:val="0"/>
        <w:numPr>
          <w:ilvl w:val="0"/>
          <w:numId w:val="2"/>
        </w:numPr>
        <w:spacing w:line="360" w:lineRule="auto"/>
        <w:ind w:firstLine="480"/>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投标人在投标文件《项目技术要求响应、偏离说明表》中应对以下条款进行响应描述或偏离说明。</w:t>
      </w:r>
    </w:p>
    <w:p w14:paraId="0C30E638">
      <w:pPr>
        <w:widowControl w:val="0"/>
        <w:numPr>
          <w:ilvl w:val="0"/>
          <w:numId w:val="2"/>
        </w:numPr>
        <w:spacing w:line="360" w:lineRule="auto"/>
        <w:ind w:firstLine="480"/>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招标文件中“★”标注的技术、服务及商务要求，应满足或优于，并在《项目服务要求“★”号条款响应、偏离说明表》中逐项详细说明是否满足要求并按招标文件要求提供证明文件，如有不满足的其投标按照</w:t>
      </w:r>
      <w:r>
        <w:rPr>
          <w:rFonts w:hint="eastAsia" w:ascii="宋体" w:hAnsi="宋体" w:eastAsia="宋体" w:cs="宋体"/>
          <w:b/>
          <w:bCs/>
          <w:color w:val="000000"/>
          <w:kern w:val="2"/>
          <w:sz w:val="24"/>
          <w:szCs w:val="24"/>
          <w:lang w:val="en-US" w:eastAsia="zh-CN" w:bidi="ar-SA"/>
        </w:rPr>
        <w:t>无效投标处理</w:t>
      </w:r>
      <w:r>
        <w:rPr>
          <w:rFonts w:hint="eastAsia" w:ascii="宋体" w:hAnsi="宋体" w:eastAsia="宋体" w:cs="宋体"/>
          <w:color w:val="000000"/>
          <w:kern w:val="2"/>
          <w:sz w:val="24"/>
          <w:szCs w:val="24"/>
          <w:lang w:val="en-US" w:eastAsia="zh-CN" w:bidi="ar-SA"/>
        </w:rPr>
        <w:t>。</w:t>
      </w:r>
    </w:p>
    <w:p w14:paraId="4AFCA61E">
      <w:pPr>
        <w:rPr>
          <w:rFonts w:hint="eastAsia" w:ascii="@仿宋_GB2312" w:hAnsi="@仿宋_GB2312" w:eastAsia="@仿宋_GB2312" w:cs="@仿宋_GB2312"/>
          <w:szCs w:val="20"/>
        </w:rPr>
      </w:pPr>
    </w:p>
    <w:p w14:paraId="597DBA71">
      <w:pPr>
        <w:keepNext/>
        <w:keepLines/>
        <w:widowControl w:val="0"/>
        <w:spacing w:before="0" w:after="0" w:line="360" w:lineRule="auto"/>
        <w:jc w:val="left"/>
        <w:outlineLvl w:val="2"/>
        <w:rPr>
          <w:rFonts w:hint="eastAsia" w:ascii="@仿宋_GB2312" w:hAnsi="@仿宋_GB2312" w:eastAsia="@仿宋_GB2312" w:cs="@仿宋_GB2312"/>
          <w:b/>
          <w:kern w:val="2"/>
          <w:sz w:val="32"/>
          <w:lang w:val="en-US" w:eastAsia="zh-CN" w:bidi="ar-SA"/>
        </w:rPr>
      </w:pPr>
      <w:bookmarkStart w:id="1" w:name="_Toc242972578"/>
      <w:r>
        <w:rPr>
          <w:rFonts w:hint="eastAsia" w:ascii="仿宋" w:hAnsi="仿宋" w:eastAsia="仿宋" w:cs="仿宋"/>
          <w:b/>
          <w:bCs/>
          <w:kern w:val="2"/>
          <w:sz w:val="32"/>
          <w:szCs w:val="32"/>
          <w:lang w:val="en-US" w:eastAsia="zh-CN" w:bidi="ar-SA"/>
        </w:rPr>
        <w:t>一、采购标的</w:t>
      </w:r>
      <w:bookmarkEnd w:id="1"/>
    </w:p>
    <w:p w14:paraId="47667052">
      <w:pPr>
        <w:keepNext/>
        <w:keepLines/>
        <w:widowControl w:val="0"/>
        <w:numPr>
          <w:ilvl w:val="0"/>
          <w:numId w:val="3"/>
        </w:numPr>
        <w:spacing w:before="0" w:after="0" w:line="360" w:lineRule="auto"/>
        <w:ind w:left="425" w:hanging="425"/>
        <w:jc w:val="both"/>
        <w:outlineLvl w:val="3"/>
        <w:rPr>
          <w:rFonts w:hint="eastAsia" w:ascii="宋体" w:hAnsi="宋体" w:eastAsia="宋体" w:cs="宋体"/>
          <w:b/>
          <w:kern w:val="2"/>
          <w:sz w:val="24"/>
          <w:szCs w:val="24"/>
          <w:lang w:val="en-US" w:eastAsia="zh-CN" w:bidi="ar-SA"/>
        </w:rPr>
      </w:pPr>
      <w:bookmarkStart w:id="2" w:name="_Toc242972579"/>
      <w:r>
        <w:rPr>
          <w:rFonts w:hint="eastAsia" w:ascii="宋体" w:hAnsi="宋体" w:eastAsia="宋体" w:cs="宋体"/>
          <w:b/>
          <w:kern w:val="2"/>
          <w:sz w:val="24"/>
          <w:szCs w:val="24"/>
          <w:lang w:val="en-US" w:eastAsia="zh-CN" w:bidi="ar-SA"/>
        </w:rPr>
        <w:t>采购标的一览表</w:t>
      </w:r>
      <w:bookmarkEnd w:id="2"/>
    </w:p>
    <w:tbl>
      <w:tblPr>
        <w:tblStyle w:val="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751"/>
        <w:gridCol w:w="422"/>
        <w:gridCol w:w="422"/>
        <w:gridCol w:w="422"/>
        <w:gridCol w:w="835"/>
        <w:gridCol w:w="794"/>
        <w:gridCol w:w="795"/>
        <w:gridCol w:w="797"/>
        <w:gridCol w:w="823"/>
      </w:tblGrid>
      <w:tr w14:paraId="5F9B1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7" w:type="pct"/>
            <w:shd w:val="clear" w:color="C4BC96" w:fill="FFFFFF"/>
            <w:vAlign w:val="center"/>
          </w:tcPr>
          <w:p w14:paraId="3FEFC983">
            <w:pPr>
              <w:wordWrap w:val="0"/>
              <w:adjustRightInd w:val="0"/>
              <w:spacing w:line="300" w:lineRule="auto"/>
              <w:jc w:val="center"/>
              <w:rPr>
                <w:rFonts w:hint="eastAsia" w:ascii="宋体" w:hAnsi="宋体" w:eastAsia="宋体" w:cs="宋体"/>
                <w:bCs/>
                <w:sz w:val="24"/>
                <w:szCs w:val="24"/>
              </w:rPr>
            </w:pPr>
            <w:r>
              <w:rPr>
                <w:rFonts w:hint="eastAsia" w:ascii="宋体" w:hAnsi="宋体" w:eastAsia="宋体" w:cs="宋体"/>
                <w:bCs/>
                <w:sz w:val="24"/>
                <w:szCs w:val="24"/>
              </w:rPr>
              <w:t>序号</w:t>
            </w:r>
          </w:p>
        </w:tc>
        <w:tc>
          <w:tcPr>
            <w:tcW w:w="1615" w:type="pct"/>
            <w:shd w:val="clear" w:color="C4BC96" w:fill="FFFFFF"/>
            <w:vAlign w:val="center"/>
          </w:tcPr>
          <w:p w14:paraId="6D128A9E">
            <w:pPr>
              <w:wordWrap w:val="0"/>
              <w:adjustRightInd w:val="0"/>
              <w:spacing w:line="300" w:lineRule="auto"/>
              <w:jc w:val="center"/>
              <w:rPr>
                <w:rFonts w:hint="eastAsia" w:ascii="宋体" w:hAnsi="宋体" w:eastAsia="宋体" w:cs="宋体"/>
                <w:bCs/>
                <w:sz w:val="24"/>
                <w:szCs w:val="24"/>
              </w:rPr>
            </w:pPr>
            <w:r>
              <w:rPr>
                <w:rFonts w:hint="eastAsia" w:ascii="宋体" w:hAnsi="宋体" w:eastAsia="宋体" w:cs="宋体"/>
                <w:bCs/>
                <w:sz w:val="24"/>
                <w:szCs w:val="24"/>
              </w:rPr>
              <w:t>标的名称</w:t>
            </w:r>
          </w:p>
        </w:tc>
        <w:tc>
          <w:tcPr>
            <w:tcW w:w="248" w:type="pct"/>
            <w:shd w:val="clear" w:color="C4BC96" w:fill="FFFFFF"/>
            <w:vAlign w:val="center"/>
          </w:tcPr>
          <w:p w14:paraId="7B5CBC0B">
            <w:pPr>
              <w:wordWrap w:val="0"/>
              <w:adjustRightInd w:val="0"/>
              <w:spacing w:line="300" w:lineRule="auto"/>
              <w:jc w:val="center"/>
              <w:rPr>
                <w:rFonts w:hint="eastAsia" w:ascii="宋体" w:hAnsi="宋体" w:eastAsia="宋体" w:cs="宋体"/>
                <w:bCs/>
                <w:sz w:val="24"/>
                <w:szCs w:val="24"/>
              </w:rPr>
            </w:pPr>
            <w:r>
              <w:rPr>
                <w:rFonts w:hint="eastAsia" w:ascii="宋体" w:hAnsi="宋体" w:eastAsia="宋体" w:cs="宋体"/>
                <w:bCs/>
                <w:sz w:val="24"/>
                <w:szCs w:val="24"/>
              </w:rPr>
              <w:t>数量</w:t>
            </w:r>
          </w:p>
        </w:tc>
        <w:tc>
          <w:tcPr>
            <w:tcW w:w="248" w:type="pct"/>
            <w:shd w:val="clear" w:color="C4BC96" w:fill="FFFFFF"/>
            <w:vAlign w:val="center"/>
          </w:tcPr>
          <w:p w14:paraId="2FA6DA86">
            <w:pPr>
              <w:wordWrap w:val="0"/>
              <w:adjustRightInd w:val="0"/>
              <w:spacing w:line="300" w:lineRule="auto"/>
              <w:jc w:val="center"/>
              <w:rPr>
                <w:rFonts w:hint="eastAsia" w:ascii="宋体" w:hAnsi="宋体" w:eastAsia="宋体" w:cs="宋体"/>
                <w:bCs/>
                <w:sz w:val="24"/>
                <w:szCs w:val="24"/>
              </w:rPr>
            </w:pPr>
            <w:r>
              <w:rPr>
                <w:rFonts w:hint="eastAsia" w:ascii="宋体" w:hAnsi="宋体" w:eastAsia="宋体" w:cs="宋体"/>
                <w:bCs/>
                <w:sz w:val="24"/>
                <w:szCs w:val="24"/>
              </w:rPr>
              <w:t>单位</w:t>
            </w:r>
          </w:p>
        </w:tc>
        <w:tc>
          <w:tcPr>
            <w:tcW w:w="248" w:type="pct"/>
            <w:shd w:val="clear" w:color="C4BC96" w:fill="FFFFFF"/>
            <w:vAlign w:val="center"/>
          </w:tcPr>
          <w:p w14:paraId="2F1A0924">
            <w:pPr>
              <w:wordWrap w:val="0"/>
              <w:adjustRightInd w:val="0"/>
              <w:spacing w:line="300" w:lineRule="auto"/>
              <w:jc w:val="center"/>
              <w:rPr>
                <w:rFonts w:hint="eastAsia" w:ascii="宋体" w:hAnsi="宋体" w:eastAsia="宋体" w:cs="宋体"/>
                <w:bCs/>
                <w:sz w:val="24"/>
                <w:szCs w:val="24"/>
              </w:rPr>
            </w:pPr>
            <w:r>
              <w:rPr>
                <w:rFonts w:hint="eastAsia" w:ascii="宋体" w:hAnsi="宋体" w:eastAsia="宋体" w:cs="宋体"/>
                <w:bCs/>
                <w:sz w:val="24"/>
                <w:szCs w:val="24"/>
              </w:rPr>
              <w:t>标的属性</w:t>
            </w:r>
          </w:p>
        </w:tc>
        <w:tc>
          <w:tcPr>
            <w:tcW w:w="490" w:type="pct"/>
            <w:shd w:val="clear" w:color="C4BC96" w:fill="FFFFFF"/>
            <w:vAlign w:val="center"/>
          </w:tcPr>
          <w:p w14:paraId="14DD8857">
            <w:pPr>
              <w:wordWrap w:val="0"/>
              <w:adjustRightInd w:val="0"/>
              <w:spacing w:line="300" w:lineRule="auto"/>
              <w:jc w:val="center"/>
              <w:rPr>
                <w:rFonts w:hint="eastAsia" w:ascii="宋体" w:hAnsi="宋体" w:eastAsia="宋体" w:cs="宋体"/>
                <w:bCs/>
                <w:sz w:val="24"/>
                <w:szCs w:val="24"/>
              </w:rPr>
            </w:pPr>
            <w:r>
              <w:rPr>
                <w:rFonts w:hint="eastAsia" w:ascii="宋体" w:hAnsi="宋体" w:eastAsia="宋体" w:cs="宋体"/>
                <w:bCs/>
                <w:sz w:val="24"/>
                <w:szCs w:val="24"/>
              </w:rPr>
              <w:t>所属行业</w:t>
            </w:r>
          </w:p>
        </w:tc>
        <w:tc>
          <w:tcPr>
            <w:tcW w:w="466" w:type="pct"/>
            <w:shd w:val="clear" w:color="C4BC96" w:fill="FFFFFF"/>
            <w:vAlign w:val="center"/>
          </w:tcPr>
          <w:p w14:paraId="11C4386A">
            <w:pPr>
              <w:wordWrap w:val="0"/>
              <w:adjustRightInd w:val="0"/>
              <w:spacing w:line="300" w:lineRule="auto"/>
              <w:jc w:val="center"/>
              <w:rPr>
                <w:rFonts w:hint="eastAsia" w:ascii="宋体" w:hAnsi="宋体" w:eastAsia="宋体" w:cs="宋体"/>
                <w:bCs/>
                <w:sz w:val="24"/>
                <w:szCs w:val="24"/>
              </w:rPr>
            </w:pPr>
            <w:r>
              <w:rPr>
                <w:rFonts w:hint="eastAsia" w:ascii="宋体" w:hAnsi="宋体" w:eastAsia="宋体" w:cs="宋体"/>
                <w:bCs/>
                <w:sz w:val="24"/>
                <w:szCs w:val="24"/>
                <w:lang w:bidi="ar"/>
              </w:rPr>
              <w:t>是否为核心产品</w:t>
            </w:r>
          </w:p>
        </w:tc>
        <w:tc>
          <w:tcPr>
            <w:tcW w:w="467" w:type="pct"/>
            <w:shd w:val="clear" w:color="C4BC96" w:fill="FFFFFF"/>
            <w:vAlign w:val="center"/>
          </w:tcPr>
          <w:p w14:paraId="2FB506F0">
            <w:pPr>
              <w:wordWrap w:val="0"/>
              <w:adjustRightInd w:val="0"/>
              <w:spacing w:line="300" w:lineRule="auto"/>
              <w:jc w:val="center"/>
              <w:rPr>
                <w:rFonts w:hint="eastAsia" w:ascii="宋体" w:hAnsi="宋体" w:eastAsia="宋体" w:cs="宋体"/>
                <w:bCs/>
                <w:sz w:val="24"/>
                <w:szCs w:val="24"/>
              </w:rPr>
            </w:pPr>
            <w:r>
              <w:rPr>
                <w:rFonts w:hint="eastAsia" w:ascii="宋体" w:hAnsi="宋体" w:eastAsia="宋体" w:cs="宋体"/>
                <w:bCs/>
                <w:sz w:val="24"/>
                <w:szCs w:val="24"/>
              </w:rPr>
              <w:t>是否适用本国产品标准</w:t>
            </w:r>
          </w:p>
        </w:tc>
        <w:tc>
          <w:tcPr>
            <w:tcW w:w="468" w:type="pct"/>
            <w:shd w:val="clear" w:color="C4BC96" w:fill="FFFFFF"/>
            <w:vAlign w:val="center"/>
          </w:tcPr>
          <w:p w14:paraId="4ED7E327">
            <w:pPr>
              <w:wordWrap w:val="0"/>
              <w:adjustRightInd w:val="0"/>
              <w:spacing w:line="300" w:lineRule="auto"/>
              <w:jc w:val="center"/>
              <w:rPr>
                <w:rFonts w:hint="eastAsia" w:ascii="宋体" w:hAnsi="宋体" w:eastAsia="宋体" w:cs="宋体"/>
                <w:bCs/>
                <w:sz w:val="24"/>
                <w:szCs w:val="24"/>
              </w:rPr>
            </w:pPr>
            <w:r>
              <w:rPr>
                <w:rFonts w:hint="eastAsia" w:ascii="宋体" w:hAnsi="宋体" w:eastAsia="宋体" w:cs="宋体"/>
                <w:bCs/>
                <w:sz w:val="24"/>
                <w:szCs w:val="24"/>
              </w:rPr>
              <w:t>是否接受进口产品</w:t>
            </w:r>
          </w:p>
        </w:tc>
        <w:tc>
          <w:tcPr>
            <w:tcW w:w="478" w:type="pct"/>
            <w:shd w:val="clear" w:color="C4BC96" w:fill="FFFFFF"/>
            <w:vAlign w:val="center"/>
          </w:tcPr>
          <w:p w14:paraId="4B323153">
            <w:pPr>
              <w:wordWrap w:val="0"/>
              <w:adjustRightInd w:val="0"/>
              <w:spacing w:line="300" w:lineRule="auto"/>
              <w:jc w:val="center"/>
              <w:rPr>
                <w:rFonts w:hint="eastAsia" w:ascii="宋体" w:hAnsi="宋体" w:eastAsia="宋体" w:cs="宋体"/>
                <w:bCs/>
                <w:sz w:val="24"/>
                <w:szCs w:val="24"/>
              </w:rPr>
            </w:pPr>
            <w:r>
              <w:rPr>
                <w:rFonts w:hint="eastAsia" w:ascii="宋体" w:hAnsi="宋体" w:eastAsia="宋体" w:cs="宋体"/>
                <w:bCs/>
                <w:sz w:val="24"/>
                <w:szCs w:val="24"/>
              </w:rPr>
              <w:t>是否强制采购节能产品</w:t>
            </w:r>
          </w:p>
        </w:tc>
      </w:tr>
      <w:tr w14:paraId="2A905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7" w:type="pct"/>
            <w:vAlign w:val="center"/>
          </w:tcPr>
          <w:p w14:paraId="5B83234E">
            <w:pPr>
              <w:widowControl/>
              <w:tabs>
                <w:tab w:val="left" w:pos="33"/>
              </w:tabs>
              <w:wordWrap w:val="0"/>
              <w:adjustRightInd w:val="0"/>
              <w:spacing w:line="300" w:lineRule="auto"/>
              <w:jc w:val="center"/>
              <w:rPr>
                <w:rFonts w:hint="eastAsia" w:ascii="宋体" w:hAnsi="宋体" w:eastAsia="宋体" w:cs="宋体"/>
                <w:bCs/>
                <w:sz w:val="24"/>
                <w:szCs w:val="24"/>
              </w:rPr>
            </w:pPr>
            <w:r>
              <w:rPr>
                <w:rFonts w:hint="eastAsia" w:ascii="宋体" w:hAnsi="宋体" w:eastAsia="宋体" w:cs="宋体"/>
                <w:bCs/>
                <w:sz w:val="24"/>
                <w:szCs w:val="24"/>
              </w:rPr>
              <w:t>1</w:t>
            </w:r>
          </w:p>
        </w:tc>
        <w:tc>
          <w:tcPr>
            <w:tcW w:w="1615" w:type="pct"/>
            <w:vAlign w:val="center"/>
          </w:tcPr>
          <w:p w14:paraId="50EE5F25">
            <w:pPr>
              <w:widowControl/>
              <w:wordWrap w:val="0"/>
              <w:adjustRightInd w:val="0"/>
              <w:spacing w:line="300" w:lineRule="auto"/>
              <w:jc w:val="center"/>
              <w:rPr>
                <w:rFonts w:hint="eastAsia" w:ascii="宋体" w:hAnsi="宋体" w:eastAsia="宋体" w:cs="宋体"/>
                <w:bCs/>
                <w:sz w:val="24"/>
                <w:szCs w:val="24"/>
              </w:rPr>
            </w:pPr>
            <w:r>
              <w:rPr>
                <w:rFonts w:hint="eastAsia" w:ascii="宋体" w:hAnsi="宋体" w:eastAsia="宋体" w:cs="宋体"/>
                <w:sz w:val="24"/>
                <w:szCs w:val="24"/>
              </w:rPr>
              <w:t>武汉市中心医院武汉市住院分娩政策范围内医疗费用“零自付”改造项目</w:t>
            </w:r>
          </w:p>
        </w:tc>
        <w:tc>
          <w:tcPr>
            <w:tcW w:w="248" w:type="pct"/>
            <w:vAlign w:val="center"/>
          </w:tcPr>
          <w:p w14:paraId="63C4F94A">
            <w:pPr>
              <w:widowControl/>
              <w:wordWrap w:val="0"/>
              <w:adjustRightInd w:val="0"/>
              <w:spacing w:line="300" w:lineRule="auto"/>
              <w:jc w:val="center"/>
              <w:rPr>
                <w:rFonts w:hint="eastAsia" w:ascii="宋体" w:hAnsi="宋体" w:eastAsia="宋体" w:cs="宋体"/>
                <w:bCs/>
                <w:sz w:val="24"/>
                <w:szCs w:val="24"/>
              </w:rPr>
            </w:pPr>
            <w:r>
              <w:rPr>
                <w:rFonts w:hint="eastAsia" w:ascii="宋体" w:hAnsi="宋体" w:eastAsia="宋体" w:cs="宋体"/>
                <w:bCs/>
                <w:sz w:val="24"/>
                <w:szCs w:val="24"/>
              </w:rPr>
              <w:t>1</w:t>
            </w:r>
          </w:p>
        </w:tc>
        <w:tc>
          <w:tcPr>
            <w:tcW w:w="248" w:type="pct"/>
            <w:vAlign w:val="center"/>
          </w:tcPr>
          <w:p w14:paraId="169C6679">
            <w:pPr>
              <w:widowControl/>
              <w:wordWrap w:val="0"/>
              <w:adjustRightInd w:val="0"/>
              <w:spacing w:line="300" w:lineRule="auto"/>
              <w:jc w:val="center"/>
              <w:rPr>
                <w:rFonts w:hint="eastAsia" w:ascii="宋体" w:hAnsi="宋体" w:eastAsia="宋体" w:cs="宋体"/>
                <w:bCs/>
                <w:sz w:val="24"/>
                <w:szCs w:val="24"/>
              </w:rPr>
            </w:pPr>
            <w:r>
              <w:rPr>
                <w:rFonts w:hint="eastAsia" w:ascii="宋体" w:hAnsi="宋体" w:eastAsia="宋体" w:cs="宋体"/>
                <w:bCs/>
                <w:sz w:val="24"/>
                <w:szCs w:val="24"/>
              </w:rPr>
              <w:t>项</w:t>
            </w:r>
          </w:p>
        </w:tc>
        <w:tc>
          <w:tcPr>
            <w:tcW w:w="248" w:type="pct"/>
            <w:vAlign w:val="center"/>
          </w:tcPr>
          <w:p w14:paraId="0913FA97">
            <w:pPr>
              <w:widowControl/>
              <w:wordWrap w:val="0"/>
              <w:adjustRightInd w:val="0"/>
              <w:spacing w:line="300" w:lineRule="auto"/>
              <w:jc w:val="center"/>
              <w:rPr>
                <w:rFonts w:hint="eastAsia" w:ascii="宋体" w:hAnsi="宋体" w:eastAsia="宋体" w:cs="宋体"/>
                <w:bCs/>
                <w:sz w:val="24"/>
                <w:szCs w:val="24"/>
              </w:rPr>
            </w:pPr>
            <w:r>
              <w:rPr>
                <w:rFonts w:hint="eastAsia" w:ascii="宋体" w:hAnsi="宋体" w:eastAsia="宋体" w:cs="宋体"/>
                <w:bCs/>
                <w:sz w:val="24"/>
                <w:szCs w:val="24"/>
              </w:rPr>
              <w:t>服务</w:t>
            </w:r>
          </w:p>
        </w:tc>
        <w:tc>
          <w:tcPr>
            <w:tcW w:w="490" w:type="pct"/>
            <w:vAlign w:val="center"/>
          </w:tcPr>
          <w:p w14:paraId="5E812308">
            <w:pPr>
              <w:widowControl/>
              <w:wordWrap w:val="0"/>
              <w:adjustRightInd w:val="0"/>
              <w:spacing w:line="300" w:lineRule="auto"/>
              <w:jc w:val="center"/>
              <w:rPr>
                <w:rFonts w:hint="eastAsia" w:ascii="宋体" w:hAnsi="宋体" w:eastAsia="宋体" w:cs="宋体"/>
                <w:bCs/>
                <w:sz w:val="24"/>
                <w:szCs w:val="24"/>
              </w:rPr>
            </w:pPr>
            <w:r>
              <w:rPr>
                <w:rFonts w:hint="eastAsia" w:ascii="宋体" w:hAnsi="宋体" w:eastAsia="宋体" w:cs="宋体"/>
                <w:bCs/>
                <w:sz w:val="24"/>
                <w:szCs w:val="24"/>
              </w:rPr>
              <w:t>其他未列明行业</w:t>
            </w:r>
          </w:p>
        </w:tc>
        <w:tc>
          <w:tcPr>
            <w:tcW w:w="466" w:type="pct"/>
            <w:vAlign w:val="center"/>
          </w:tcPr>
          <w:p w14:paraId="1B29E23E">
            <w:pPr>
              <w:widowControl/>
              <w:tabs>
                <w:tab w:val="left" w:pos="33"/>
              </w:tabs>
              <w:wordWrap w:val="0"/>
              <w:adjustRightInd w:val="0"/>
              <w:spacing w:line="30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□是</w:t>
            </w:r>
          </w:p>
          <w:p w14:paraId="30D9336D">
            <w:pPr>
              <w:widowControl/>
              <w:tabs>
                <w:tab w:val="left" w:pos="33"/>
              </w:tabs>
              <w:wordWrap w:val="0"/>
              <w:adjustRightInd w:val="0"/>
              <w:spacing w:line="300" w:lineRule="auto"/>
              <w:jc w:val="center"/>
              <w:rPr>
                <w:rFonts w:hint="eastAsia" w:ascii="@仿宋_GB2312" w:hAnsi="@仿宋_GB2312" w:eastAsia="@仿宋_GB2312" w:cs="@仿宋_GB2312"/>
                <w:strike/>
                <w:szCs w:val="20"/>
              </w:rPr>
            </w:pPr>
            <w:r>
              <w:rPr>
                <w:rFonts w:hint="eastAsia" w:ascii="宋体" w:hAnsi="宋体" w:eastAsia="宋体" w:cs="宋体"/>
                <w:kern w:val="0"/>
                <w:sz w:val="24"/>
                <w:szCs w:val="24"/>
              </w:rPr>
              <w:t>☑否</w:t>
            </w:r>
          </w:p>
        </w:tc>
        <w:tc>
          <w:tcPr>
            <w:tcW w:w="467" w:type="pct"/>
            <w:vAlign w:val="center"/>
          </w:tcPr>
          <w:p w14:paraId="17969A57">
            <w:pPr>
              <w:widowControl/>
              <w:tabs>
                <w:tab w:val="left" w:pos="33"/>
              </w:tabs>
              <w:wordWrap w:val="0"/>
              <w:adjustRightInd w:val="0"/>
              <w:spacing w:line="30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□是</w:t>
            </w:r>
          </w:p>
          <w:p w14:paraId="07ABC8DC">
            <w:pPr>
              <w:widowControl/>
              <w:tabs>
                <w:tab w:val="left" w:pos="33"/>
              </w:tabs>
              <w:wordWrap w:val="0"/>
              <w:adjustRightInd w:val="0"/>
              <w:spacing w:line="30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☑否</w:t>
            </w:r>
          </w:p>
        </w:tc>
        <w:tc>
          <w:tcPr>
            <w:tcW w:w="468" w:type="pct"/>
            <w:vAlign w:val="center"/>
          </w:tcPr>
          <w:p w14:paraId="64455DD0">
            <w:pPr>
              <w:widowControl/>
              <w:tabs>
                <w:tab w:val="left" w:pos="33"/>
              </w:tabs>
              <w:wordWrap w:val="0"/>
              <w:adjustRightInd w:val="0"/>
              <w:spacing w:line="30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□是</w:t>
            </w:r>
          </w:p>
          <w:p w14:paraId="542CCFC0">
            <w:pPr>
              <w:widowControl/>
              <w:tabs>
                <w:tab w:val="left" w:pos="33"/>
              </w:tabs>
              <w:wordWrap w:val="0"/>
              <w:adjustRightInd w:val="0"/>
              <w:spacing w:line="30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☑否</w:t>
            </w:r>
          </w:p>
        </w:tc>
        <w:tc>
          <w:tcPr>
            <w:tcW w:w="478" w:type="pct"/>
            <w:vAlign w:val="center"/>
          </w:tcPr>
          <w:p w14:paraId="562AD4C3">
            <w:pPr>
              <w:widowControl/>
              <w:tabs>
                <w:tab w:val="left" w:pos="33"/>
              </w:tabs>
              <w:wordWrap w:val="0"/>
              <w:adjustRightInd w:val="0"/>
              <w:spacing w:line="30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□是</w:t>
            </w:r>
          </w:p>
          <w:p w14:paraId="443118C7">
            <w:pPr>
              <w:widowControl/>
              <w:tabs>
                <w:tab w:val="left" w:pos="33"/>
              </w:tabs>
              <w:wordWrap w:val="0"/>
              <w:adjustRightInd w:val="0"/>
              <w:spacing w:line="30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☑否</w:t>
            </w:r>
          </w:p>
        </w:tc>
      </w:tr>
      <w:tr w14:paraId="3A9D6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10"/>
            <w:vAlign w:val="center"/>
          </w:tcPr>
          <w:p w14:paraId="7FA3666D">
            <w:pPr>
              <w:widowControl/>
              <w:numPr>
                <w:ilvl w:val="255"/>
                <w:numId w:val="0"/>
              </w:numPr>
              <w:wordWrap w:val="0"/>
              <w:adjustRightInd w:val="0"/>
              <w:spacing w:line="300" w:lineRule="auto"/>
              <w:jc w:val="left"/>
              <w:rPr>
                <w:rFonts w:hint="eastAsia" w:ascii="宋体" w:hAnsi="宋体" w:eastAsia="宋体" w:cs="宋体"/>
                <w:bCs/>
                <w:sz w:val="24"/>
                <w:szCs w:val="24"/>
              </w:rPr>
            </w:pPr>
            <w:r>
              <w:rPr>
                <w:rFonts w:hint="eastAsia" w:ascii="宋体" w:hAnsi="宋体" w:eastAsia="宋体" w:cs="宋体"/>
                <w:sz w:val="24"/>
                <w:szCs w:val="24"/>
              </w:rPr>
              <w:t>说明：投标人应当对所投采购包“采购标的一览表”所列的全部内容进行投标，不得将一个采购包中的内容拆分投标，否则将被认定为</w:t>
            </w:r>
            <w:r>
              <w:rPr>
                <w:rFonts w:hint="eastAsia" w:ascii="宋体" w:hAnsi="宋体" w:eastAsia="宋体" w:cs="宋体"/>
                <w:b/>
                <w:bCs/>
                <w:sz w:val="24"/>
                <w:szCs w:val="24"/>
              </w:rPr>
              <w:t>投标无效</w:t>
            </w:r>
            <w:r>
              <w:rPr>
                <w:rFonts w:hint="eastAsia" w:ascii="宋体" w:hAnsi="宋体" w:eastAsia="宋体" w:cs="宋体"/>
                <w:sz w:val="24"/>
                <w:szCs w:val="24"/>
              </w:rPr>
              <w:t>。</w:t>
            </w:r>
          </w:p>
        </w:tc>
      </w:tr>
    </w:tbl>
    <w:p w14:paraId="42DF6316">
      <w:pPr>
        <w:adjustRightInd w:val="0"/>
        <w:spacing w:line="360" w:lineRule="auto"/>
        <w:jc w:val="center"/>
        <w:rPr>
          <w:rFonts w:hint="eastAsia" w:ascii="仿宋" w:hAnsi="仿宋" w:eastAsia="仿宋" w:cs="仿宋"/>
          <w:color w:val="0000FF"/>
          <w:sz w:val="24"/>
          <w:szCs w:val="24"/>
        </w:rPr>
        <w:sectPr>
          <w:pgSz w:w="11906" w:h="16838"/>
          <w:pgMar w:top="1440" w:right="1800" w:bottom="1440" w:left="1800" w:header="851" w:footer="992" w:gutter="0"/>
          <w:cols w:space="425" w:num="1"/>
          <w:docGrid w:type="lines" w:linePitch="312" w:charSpace="0"/>
        </w:sectPr>
      </w:pPr>
    </w:p>
    <w:p w14:paraId="0EE90D79">
      <w:pPr>
        <w:adjustRightInd w:val="0"/>
        <w:spacing w:line="360" w:lineRule="auto"/>
        <w:jc w:val="center"/>
        <w:rPr>
          <w:rFonts w:hint="eastAsia" w:ascii="仿宋" w:hAnsi="仿宋" w:eastAsia="仿宋" w:cs="仿宋"/>
          <w:color w:val="0000FF"/>
          <w:sz w:val="24"/>
          <w:szCs w:val="24"/>
        </w:rPr>
      </w:pPr>
    </w:p>
    <w:p w14:paraId="1DB6A391">
      <w:pPr>
        <w:keepNext/>
        <w:keepLines/>
        <w:widowControl w:val="0"/>
        <w:numPr>
          <w:ilvl w:val="0"/>
          <w:numId w:val="3"/>
        </w:numPr>
        <w:spacing w:before="0" w:after="0" w:line="360" w:lineRule="auto"/>
        <w:ind w:left="425" w:hanging="425"/>
        <w:jc w:val="both"/>
        <w:outlineLvl w:val="3"/>
        <w:rPr>
          <w:rFonts w:hint="eastAsia" w:ascii="宋体" w:hAnsi="宋体" w:eastAsia="宋体" w:cs="宋体"/>
          <w:b/>
          <w:kern w:val="2"/>
          <w:sz w:val="24"/>
          <w:szCs w:val="24"/>
          <w:lang w:val="en-US" w:eastAsia="zh-CN" w:bidi="ar-SA"/>
        </w:rPr>
      </w:pPr>
      <w:bookmarkStart w:id="3" w:name="_Toc242972580"/>
      <w:r>
        <w:rPr>
          <w:rFonts w:hint="eastAsia" w:ascii="宋体" w:hAnsi="宋体" w:eastAsia="宋体" w:cs="宋体"/>
          <w:b/>
          <w:kern w:val="2"/>
          <w:sz w:val="24"/>
          <w:szCs w:val="24"/>
          <w:lang w:val="en-US" w:eastAsia="zh-CN" w:bidi="ar-SA"/>
        </w:rPr>
        <w:t>项目背景/概述</w:t>
      </w:r>
      <w:bookmarkEnd w:id="3"/>
    </w:p>
    <w:tbl>
      <w:tblPr>
        <w:tblStyle w:val="2"/>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8"/>
        <w:gridCol w:w="1548"/>
        <w:gridCol w:w="3116"/>
        <w:gridCol w:w="3180"/>
      </w:tblGrid>
      <w:tr w14:paraId="103A9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92" w:type="pct"/>
            <w:vAlign w:val="center"/>
          </w:tcPr>
          <w:p w14:paraId="02ADA588">
            <w:pPr>
              <w:adjustRightInd w:val="0"/>
              <w:spacing w:line="300" w:lineRule="auto"/>
              <w:jc w:val="center"/>
              <w:rPr>
                <w:rFonts w:hint="eastAsia" w:ascii="宋体" w:hAnsi="宋体" w:eastAsia="宋体" w:cs="宋体"/>
                <w:b/>
                <w:sz w:val="24"/>
                <w:szCs w:val="24"/>
              </w:rPr>
            </w:pPr>
            <w:r>
              <w:rPr>
                <w:rFonts w:hint="eastAsia" w:ascii="宋体" w:hAnsi="宋体" w:eastAsia="宋体" w:cs="宋体"/>
                <w:b/>
                <w:sz w:val="24"/>
                <w:szCs w:val="24"/>
              </w:rPr>
              <w:t>序号</w:t>
            </w:r>
          </w:p>
        </w:tc>
        <w:tc>
          <w:tcPr>
            <w:tcW w:w="2739" w:type="pct"/>
            <w:gridSpan w:val="2"/>
            <w:vAlign w:val="center"/>
          </w:tcPr>
          <w:p w14:paraId="5AB3FA31">
            <w:pPr>
              <w:adjustRightInd w:val="0"/>
              <w:spacing w:line="300" w:lineRule="auto"/>
              <w:jc w:val="center"/>
              <w:rPr>
                <w:rFonts w:hint="eastAsia" w:ascii="宋体" w:hAnsi="宋体" w:eastAsia="宋体" w:cs="宋体"/>
                <w:b/>
                <w:sz w:val="24"/>
                <w:szCs w:val="24"/>
              </w:rPr>
            </w:pPr>
            <w:r>
              <w:rPr>
                <w:rFonts w:hint="eastAsia" w:ascii="宋体" w:hAnsi="宋体" w:eastAsia="宋体" w:cs="宋体"/>
                <w:b/>
                <w:sz w:val="24"/>
                <w:szCs w:val="24"/>
              </w:rPr>
              <w:t>内容</w:t>
            </w:r>
          </w:p>
        </w:tc>
        <w:tc>
          <w:tcPr>
            <w:tcW w:w="1867" w:type="pct"/>
            <w:vAlign w:val="center"/>
          </w:tcPr>
          <w:p w14:paraId="459214F3">
            <w:pPr>
              <w:adjustRightInd w:val="0"/>
              <w:spacing w:line="300" w:lineRule="auto"/>
              <w:jc w:val="center"/>
              <w:rPr>
                <w:rFonts w:hint="eastAsia" w:ascii="宋体" w:hAnsi="宋体" w:eastAsia="宋体" w:cs="宋体"/>
                <w:b/>
                <w:sz w:val="24"/>
                <w:szCs w:val="24"/>
              </w:rPr>
            </w:pPr>
            <w:r>
              <w:rPr>
                <w:rFonts w:hint="eastAsia" w:ascii="宋体" w:hAnsi="宋体" w:eastAsia="宋体" w:cs="宋体"/>
                <w:b/>
                <w:sz w:val="24"/>
                <w:szCs w:val="24"/>
              </w:rPr>
              <w:t>说明</w:t>
            </w:r>
          </w:p>
        </w:tc>
      </w:tr>
      <w:tr w14:paraId="64D66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392" w:type="pct"/>
            <w:vAlign w:val="center"/>
          </w:tcPr>
          <w:p w14:paraId="328181AE">
            <w:pPr>
              <w:adjustRightInd w:val="0"/>
              <w:spacing w:line="300" w:lineRule="auto"/>
              <w:jc w:val="center"/>
              <w:rPr>
                <w:rFonts w:hint="eastAsia" w:ascii="宋体" w:hAnsi="宋体" w:eastAsia="宋体" w:cs="宋体"/>
                <w:bCs/>
                <w:sz w:val="24"/>
                <w:szCs w:val="24"/>
              </w:rPr>
            </w:pPr>
            <w:r>
              <w:rPr>
                <w:rFonts w:hint="eastAsia" w:ascii="宋体" w:hAnsi="宋体" w:eastAsia="宋体" w:cs="宋体"/>
                <w:bCs/>
                <w:sz w:val="24"/>
                <w:szCs w:val="24"/>
              </w:rPr>
              <w:t>1</w:t>
            </w:r>
          </w:p>
        </w:tc>
        <w:tc>
          <w:tcPr>
            <w:tcW w:w="2739" w:type="pct"/>
            <w:gridSpan w:val="2"/>
            <w:vAlign w:val="center"/>
          </w:tcPr>
          <w:p w14:paraId="2D58C914">
            <w:pPr>
              <w:adjustRightInd w:val="0"/>
              <w:spacing w:line="300" w:lineRule="auto"/>
              <w:jc w:val="center"/>
              <w:rPr>
                <w:rFonts w:hint="eastAsia" w:ascii="宋体" w:hAnsi="宋体" w:eastAsia="宋体" w:cs="宋体"/>
                <w:kern w:val="0"/>
                <w:sz w:val="24"/>
                <w:szCs w:val="24"/>
                <w:lang w:bidi="ar"/>
              </w:rPr>
            </w:pPr>
            <w:r>
              <w:rPr>
                <w:rFonts w:hint="eastAsia" w:ascii="宋体" w:hAnsi="宋体" w:eastAsia="宋体" w:cs="宋体"/>
                <w:kern w:val="0"/>
                <w:sz w:val="24"/>
                <w:szCs w:val="24"/>
              </w:rPr>
              <w:t>采购标的需实现的功能或者目标</w:t>
            </w:r>
          </w:p>
        </w:tc>
        <w:tc>
          <w:tcPr>
            <w:tcW w:w="1867" w:type="pct"/>
            <w:vAlign w:val="center"/>
          </w:tcPr>
          <w:p w14:paraId="4226C813">
            <w:pPr>
              <w:adjustRightInd w:val="0"/>
              <w:spacing w:line="300" w:lineRule="auto"/>
              <w:jc w:val="left"/>
              <w:rPr>
                <w:rFonts w:hint="eastAsia" w:ascii="宋体" w:hAnsi="宋体" w:eastAsia="宋体" w:cs="宋体"/>
                <w:sz w:val="24"/>
                <w:szCs w:val="24"/>
                <w:lang w:bidi="en-US"/>
              </w:rPr>
            </w:pPr>
            <w:r>
              <w:rPr>
                <w:rFonts w:hint="eastAsia" w:ascii="宋体" w:hAnsi="宋体" w:eastAsia="宋体" w:cs="宋体"/>
                <w:sz w:val="24"/>
                <w:szCs w:val="24"/>
              </w:rPr>
              <w:t>武汉市医疗保障局2026年5日26日通知，为推送住院分娩政策范围内医疗费用“零自付”政策在我市落地，各定点医疗机构需按照武汉市业务系统接口规范及技术要求完成现有业务系统的接口开放工作。</w:t>
            </w:r>
          </w:p>
        </w:tc>
      </w:tr>
      <w:tr w14:paraId="4446F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92" w:type="pct"/>
            <w:vAlign w:val="center"/>
          </w:tcPr>
          <w:p w14:paraId="109A4339">
            <w:pPr>
              <w:adjustRightInd w:val="0"/>
              <w:spacing w:line="300" w:lineRule="auto"/>
              <w:jc w:val="center"/>
              <w:rPr>
                <w:rFonts w:hint="eastAsia" w:ascii="宋体" w:hAnsi="宋体" w:eastAsia="宋体" w:cs="宋体"/>
                <w:bCs/>
                <w:sz w:val="24"/>
                <w:szCs w:val="24"/>
              </w:rPr>
            </w:pPr>
            <w:r>
              <w:rPr>
                <w:rFonts w:hint="eastAsia" w:ascii="宋体" w:hAnsi="宋体" w:eastAsia="宋体" w:cs="宋体"/>
                <w:bCs/>
                <w:sz w:val="24"/>
                <w:szCs w:val="24"/>
              </w:rPr>
              <w:t>2</w:t>
            </w:r>
          </w:p>
        </w:tc>
        <w:tc>
          <w:tcPr>
            <w:tcW w:w="909" w:type="pct"/>
            <w:vMerge w:val="restart"/>
            <w:vAlign w:val="center"/>
          </w:tcPr>
          <w:p w14:paraId="09118E85">
            <w:pPr>
              <w:adjustRightInd w:val="0"/>
              <w:spacing w:line="300" w:lineRule="auto"/>
              <w:jc w:val="center"/>
              <w:rPr>
                <w:rFonts w:hint="eastAsia" w:ascii="宋体" w:hAnsi="宋体" w:eastAsia="宋体" w:cs="宋体"/>
                <w:bCs/>
                <w:sz w:val="24"/>
                <w:szCs w:val="24"/>
              </w:rPr>
            </w:pPr>
            <w:r>
              <w:rPr>
                <w:rFonts w:hint="eastAsia" w:ascii="宋体" w:hAnsi="宋体" w:eastAsia="宋体" w:cs="宋体"/>
                <w:kern w:val="0"/>
                <w:sz w:val="24"/>
                <w:szCs w:val="24"/>
              </w:rPr>
              <w:t>落实政府采购政策需满足的要求</w:t>
            </w:r>
          </w:p>
        </w:tc>
        <w:tc>
          <w:tcPr>
            <w:tcW w:w="1830" w:type="pct"/>
            <w:vAlign w:val="center"/>
          </w:tcPr>
          <w:p w14:paraId="01952943">
            <w:pPr>
              <w:adjustRightInd w:val="0"/>
              <w:spacing w:line="300" w:lineRule="auto"/>
              <w:jc w:val="center"/>
              <w:rPr>
                <w:rFonts w:hint="eastAsia" w:ascii="宋体" w:hAnsi="宋体" w:eastAsia="宋体" w:cs="宋体"/>
                <w:kern w:val="0"/>
                <w:sz w:val="24"/>
                <w:szCs w:val="24"/>
                <w:lang w:bidi="ar"/>
              </w:rPr>
            </w:pPr>
            <w:r>
              <w:rPr>
                <w:rFonts w:hint="eastAsia" w:ascii="宋体" w:hAnsi="宋体" w:eastAsia="宋体" w:cs="宋体"/>
                <w:sz w:val="24"/>
                <w:szCs w:val="24"/>
              </w:rPr>
              <w:t>中小企业、监狱企业及残疾人福利性单位</w:t>
            </w:r>
          </w:p>
        </w:tc>
        <w:tc>
          <w:tcPr>
            <w:tcW w:w="1867" w:type="pct"/>
            <w:vAlign w:val="center"/>
          </w:tcPr>
          <w:p w14:paraId="525C9182">
            <w:pPr>
              <w:adjustRightInd w:val="0"/>
              <w:spacing w:line="300" w:lineRule="auto"/>
              <w:rPr>
                <w:rFonts w:hint="eastAsia" w:ascii="宋体" w:hAnsi="宋体" w:eastAsia="宋体" w:cs="宋体"/>
                <w:sz w:val="24"/>
                <w:szCs w:val="24"/>
                <w:lang w:bidi="en-US"/>
              </w:rPr>
            </w:pPr>
            <w:r>
              <w:rPr>
                <w:rFonts w:hint="eastAsia" w:ascii="宋体" w:hAnsi="宋体" w:eastAsia="宋体" w:cs="宋体"/>
                <w:sz w:val="24"/>
                <w:szCs w:val="24"/>
                <w:lang w:bidi="en-US"/>
              </w:rPr>
              <w:t>适用</w:t>
            </w:r>
          </w:p>
        </w:tc>
      </w:tr>
      <w:tr w14:paraId="60B1E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92" w:type="pct"/>
            <w:vAlign w:val="center"/>
          </w:tcPr>
          <w:p w14:paraId="722A2EB1">
            <w:pPr>
              <w:adjustRightInd w:val="0"/>
              <w:spacing w:line="300" w:lineRule="auto"/>
              <w:jc w:val="center"/>
              <w:rPr>
                <w:rFonts w:hint="eastAsia" w:ascii="宋体" w:hAnsi="宋体" w:eastAsia="宋体" w:cs="宋体"/>
                <w:bCs/>
                <w:sz w:val="24"/>
                <w:szCs w:val="24"/>
              </w:rPr>
            </w:pPr>
            <w:r>
              <w:rPr>
                <w:rFonts w:hint="eastAsia" w:ascii="宋体" w:hAnsi="宋体" w:eastAsia="宋体" w:cs="宋体"/>
                <w:bCs/>
                <w:sz w:val="24"/>
                <w:szCs w:val="24"/>
              </w:rPr>
              <w:t>3</w:t>
            </w:r>
          </w:p>
        </w:tc>
        <w:tc>
          <w:tcPr>
            <w:tcW w:w="909" w:type="pct"/>
            <w:vMerge w:val="continue"/>
            <w:vAlign w:val="center"/>
          </w:tcPr>
          <w:p w14:paraId="574E1F0E">
            <w:pPr>
              <w:adjustRightInd w:val="0"/>
              <w:spacing w:line="300" w:lineRule="auto"/>
              <w:jc w:val="center"/>
              <w:rPr>
                <w:rFonts w:hint="eastAsia" w:ascii="宋体" w:hAnsi="宋体" w:eastAsia="宋体" w:cs="宋体"/>
                <w:kern w:val="0"/>
                <w:sz w:val="24"/>
                <w:szCs w:val="24"/>
              </w:rPr>
            </w:pPr>
          </w:p>
        </w:tc>
        <w:tc>
          <w:tcPr>
            <w:tcW w:w="1830" w:type="pct"/>
            <w:vAlign w:val="center"/>
          </w:tcPr>
          <w:p w14:paraId="6B0A4582">
            <w:pPr>
              <w:adjustRightInd w:val="0"/>
              <w:spacing w:line="300" w:lineRule="auto"/>
              <w:jc w:val="center"/>
              <w:rPr>
                <w:rFonts w:hint="eastAsia" w:ascii="宋体" w:hAnsi="宋体" w:eastAsia="宋体" w:cs="宋体"/>
                <w:kern w:val="0"/>
                <w:sz w:val="24"/>
                <w:szCs w:val="24"/>
                <w:lang w:bidi="ar"/>
              </w:rPr>
            </w:pPr>
            <w:r>
              <w:rPr>
                <w:rFonts w:hint="eastAsia" w:ascii="宋体" w:hAnsi="宋体" w:eastAsia="宋体" w:cs="宋体"/>
                <w:sz w:val="24"/>
                <w:szCs w:val="24"/>
              </w:rPr>
              <w:t>本国产品标准及相关政策</w:t>
            </w:r>
          </w:p>
        </w:tc>
        <w:tc>
          <w:tcPr>
            <w:tcW w:w="1867" w:type="pct"/>
            <w:vAlign w:val="center"/>
          </w:tcPr>
          <w:p w14:paraId="04197BE0">
            <w:pPr>
              <w:adjustRightInd w:val="0"/>
              <w:spacing w:line="300" w:lineRule="auto"/>
              <w:rPr>
                <w:rFonts w:hint="eastAsia" w:ascii="宋体" w:hAnsi="宋体" w:eastAsia="宋体" w:cs="宋体"/>
                <w:sz w:val="24"/>
                <w:szCs w:val="24"/>
                <w:lang w:bidi="en-US"/>
              </w:rPr>
            </w:pPr>
            <w:r>
              <w:rPr>
                <w:rFonts w:hint="eastAsia" w:ascii="宋体" w:hAnsi="宋体" w:eastAsia="宋体" w:cs="宋体"/>
                <w:sz w:val="24"/>
                <w:szCs w:val="24"/>
                <w:lang w:bidi="en-US"/>
              </w:rPr>
              <w:t>不适用</w:t>
            </w:r>
          </w:p>
        </w:tc>
      </w:tr>
      <w:tr w14:paraId="4173C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92" w:type="pct"/>
            <w:vAlign w:val="center"/>
          </w:tcPr>
          <w:p w14:paraId="23DF5B26">
            <w:pPr>
              <w:adjustRightInd w:val="0"/>
              <w:spacing w:line="300" w:lineRule="auto"/>
              <w:jc w:val="center"/>
              <w:rPr>
                <w:rFonts w:hint="eastAsia" w:ascii="宋体" w:hAnsi="宋体" w:eastAsia="宋体" w:cs="宋体"/>
                <w:bCs/>
                <w:sz w:val="24"/>
                <w:szCs w:val="24"/>
              </w:rPr>
            </w:pPr>
            <w:r>
              <w:rPr>
                <w:rFonts w:hint="eastAsia" w:ascii="宋体" w:hAnsi="宋体" w:eastAsia="宋体" w:cs="宋体"/>
                <w:bCs/>
                <w:sz w:val="24"/>
                <w:szCs w:val="24"/>
              </w:rPr>
              <w:t>4</w:t>
            </w:r>
          </w:p>
        </w:tc>
        <w:tc>
          <w:tcPr>
            <w:tcW w:w="909" w:type="pct"/>
            <w:vMerge w:val="continue"/>
            <w:vAlign w:val="center"/>
          </w:tcPr>
          <w:p w14:paraId="4AB880B8">
            <w:pPr>
              <w:adjustRightInd w:val="0"/>
              <w:spacing w:line="300" w:lineRule="auto"/>
              <w:jc w:val="center"/>
              <w:rPr>
                <w:rFonts w:hint="eastAsia" w:ascii="宋体" w:hAnsi="宋体" w:eastAsia="宋体" w:cs="宋体"/>
                <w:kern w:val="0"/>
                <w:sz w:val="24"/>
                <w:szCs w:val="24"/>
              </w:rPr>
            </w:pPr>
          </w:p>
        </w:tc>
        <w:tc>
          <w:tcPr>
            <w:tcW w:w="1830" w:type="pct"/>
            <w:vAlign w:val="center"/>
          </w:tcPr>
          <w:p w14:paraId="232EEA5D">
            <w:pPr>
              <w:adjustRightInd w:val="0"/>
              <w:spacing w:line="300" w:lineRule="auto"/>
              <w:jc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政府采购节能产品、环境标志产品</w:t>
            </w:r>
          </w:p>
        </w:tc>
        <w:tc>
          <w:tcPr>
            <w:tcW w:w="1867" w:type="pct"/>
            <w:vAlign w:val="center"/>
          </w:tcPr>
          <w:p w14:paraId="59E1AB41">
            <w:pPr>
              <w:adjustRightInd w:val="0"/>
              <w:spacing w:line="300" w:lineRule="auto"/>
              <w:rPr>
                <w:rFonts w:hint="eastAsia" w:ascii="宋体" w:hAnsi="宋体" w:eastAsia="宋体" w:cs="宋体"/>
                <w:sz w:val="24"/>
                <w:szCs w:val="24"/>
                <w:lang w:bidi="en-US"/>
              </w:rPr>
            </w:pPr>
            <w:r>
              <w:rPr>
                <w:rFonts w:hint="eastAsia" w:ascii="宋体" w:hAnsi="宋体" w:eastAsia="宋体" w:cs="宋体"/>
                <w:sz w:val="24"/>
                <w:szCs w:val="24"/>
                <w:lang w:bidi="en-US"/>
              </w:rPr>
              <w:t>不适用</w:t>
            </w:r>
          </w:p>
        </w:tc>
      </w:tr>
      <w:tr w14:paraId="7F6DA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92" w:type="pct"/>
            <w:vAlign w:val="center"/>
          </w:tcPr>
          <w:p w14:paraId="10FFDCBC">
            <w:pPr>
              <w:adjustRightInd w:val="0"/>
              <w:spacing w:line="300" w:lineRule="auto"/>
              <w:jc w:val="center"/>
              <w:rPr>
                <w:rFonts w:hint="eastAsia" w:ascii="宋体" w:hAnsi="宋体" w:eastAsia="宋体" w:cs="宋体"/>
                <w:bCs/>
                <w:sz w:val="24"/>
                <w:szCs w:val="24"/>
              </w:rPr>
            </w:pPr>
            <w:r>
              <w:rPr>
                <w:rFonts w:hint="eastAsia" w:ascii="宋体" w:hAnsi="宋体" w:eastAsia="宋体" w:cs="宋体"/>
                <w:bCs/>
                <w:sz w:val="24"/>
                <w:szCs w:val="24"/>
              </w:rPr>
              <w:t>5</w:t>
            </w:r>
          </w:p>
        </w:tc>
        <w:tc>
          <w:tcPr>
            <w:tcW w:w="909" w:type="pct"/>
            <w:vMerge w:val="continue"/>
            <w:vAlign w:val="center"/>
          </w:tcPr>
          <w:p w14:paraId="42C3DE21">
            <w:pPr>
              <w:adjustRightInd w:val="0"/>
              <w:spacing w:line="300" w:lineRule="auto"/>
              <w:jc w:val="center"/>
              <w:rPr>
                <w:rFonts w:hint="eastAsia" w:ascii="宋体" w:hAnsi="宋体" w:eastAsia="宋体" w:cs="宋体"/>
                <w:kern w:val="0"/>
                <w:sz w:val="24"/>
                <w:szCs w:val="24"/>
              </w:rPr>
            </w:pPr>
          </w:p>
        </w:tc>
        <w:tc>
          <w:tcPr>
            <w:tcW w:w="1830" w:type="pct"/>
            <w:vAlign w:val="center"/>
          </w:tcPr>
          <w:p w14:paraId="6F2D7CEA">
            <w:pPr>
              <w:adjustRightInd w:val="0"/>
              <w:spacing w:line="300" w:lineRule="auto"/>
              <w:jc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采购需求标准</w:t>
            </w:r>
          </w:p>
        </w:tc>
        <w:tc>
          <w:tcPr>
            <w:tcW w:w="1867" w:type="pct"/>
            <w:vAlign w:val="center"/>
          </w:tcPr>
          <w:p w14:paraId="3F1E108C">
            <w:pPr>
              <w:adjustRightInd w:val="0"/>
              <w:spacing w:line="300" w:lineRule="auto"/>
              <w:rPr>
                <w:rFonts w:hint="eastAsia" w:ascii="宋体" w:hAnsi="宋体" w:eastAsia="宋体" w:cs="宋体"/>
                <w:sz w:val="24"/>
                <w:szCs w:val="24"/>
                <w:lang w:bidi="en-US"/>
              </w:rPr>
            </w:pPr>
            <w:r>
              <w:rPr>
                <w:rFonts w:hint="eastAsia" w:ascii="宋体" w:hAnsi="宋体" w:eastAsia="宋体" w:cs="宋体"/>
                <w:sz w:val="24"/>
                <w:szCs w:val="24"/>
                <w:lang w:bidi="en-US"/>
              </w:rPr>
              <w:t>无</w:t>
            </w:r>
          </w:p>
        </w:tc>
      </w:tr>
      <w:tr w14:paraId="59400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92" w:type="pct"/>
            <w:vAlign w:val="center"/>
          </w:tcPr>
          <w:p w14:paraId="2CDE327E">
            <w:pPr>
              <w:adjustRightInd w:val="0"/>
              <w:spacing w:line="300" w:lineRule="auto"/>
              <w:jc w:val="center"/>
              <w:rPr>
                <w:rFonts w:hint="eastAsia" w:ascii="宋体" w:hAnsi="宋体" w:eastAsia="宋体" w:cs="宋体"/>
                <w:bCs/>
                <w:sz w:val="24"/>
                <w:szCs w:val="24"/>
              </w:rPr>
            </w:pPr>
            <w:r>
              <w:rPr>
                <w:rFonts w:hint="eastAsia" w:ascii="宋体" w:hAnsi="宋体" w:eastAsia="宋体" w:cs="宋体"/>
                <w:bCs/>
                <w:sz w:val="24"/>
                <w:szCs w:val="24"/>
              </w:rPr>
              <w:t>6</w:t>
            </w:r>
          </w:p>
        </w:tc>
        <w:tc>
          <w:tcPr>
            <w:tcW w:w="909" w:type="pct"/>
            <w:vMerge w:val="continue"/>
            <w:vAlign w:val="center"/>
          </w:tcPr>
          <w:p w14:paraId="6343DF51">
            <w:pPr>
              <w:adjustRightInd w:val="0"/>
              <w:spacing w:line="300" w:lineRule="auto"/>
              <w:jc w:val="center"/>
              <w:rPr>
                <w:rFonts w:hint="eastAsia" w:ascii="宋体" w:hAnsi="宋体" w:eastAsia="宋体" w:cs="宋体"/>
                <w:kern w:val="0"/>
                <w:sz w:val="24"/>
                <w:szCs w:val="24"/>
              </w:rPr>
            </w:pPr>
          </w:p>
        </w:tc>
        <w:tc>
          <w:tcPr>
            <w:tcW w:w="1830" w:type="pct"/>
            <w:vAlign w:val="center"/>
          </w:tcPr>
          <w:p w14:paraId="3DDB1492">
            <w:pPr>
              <w:adjustRightInd w:val="0"/>
              <w:spacing w:line="300" w:lineRule="auto"/>
              <w:jc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其他政府采购政策</w:t>
            </w:r>
          </w:p>
        </w:tc>
        <w:tc>
          <w:tcPr>
            <w:tcW w:w="1867" w:type="pct"/>
            <w:vAlign w:val="center"/>
          </w:tcPr>
          <w:p w14:paraId="18B0FF55">
            <w:pPr>
              <w:adjustRightInd w:val="0"/>
              <w:spacing w:line="300" w:lineRule="auto"/>
              <w:rPr>
                <w:rFonts w:hint="eastAsia" w:ascii="宋体" w:hAnsi="宋体" w:eastAsia="宋体" w:cs="宋体"/>
                <w:sz w:val="24"/>
                <w:szCs w:val="24"/>
                <w:lang w:bidi="en-US"/>
              </w:rPr>
            </w:pPr>
            <w:r>
              <w:rPr>
                <w:rFonts w:hint="eastAsia" w:ascii="宋体" w:hAnsi="宋体" w:eastAsia="宋体" w:cs="宋体"/>
                <w:sz w:val="24"/>
                <w:szCs w:val="24"/>
                <w:lang w:bidi="en-US"/>
              </w:rPr>
              <w:t>无</w:t>
            </w:r>
          </w:p>
        </w:tc>
      </w:tr>
      <w:tr w14:paraId="44B8B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92" w:type="pct"/>
            <w:vAlign w:val="center"/>
          </w:tcPr>
          <w:p w14:paraId="097E43E2">
            <w:pPr>
              <w:adjustRightInd w:val="0"/>
              <w:spacing w:line="300" w:lineRule="auto"/>
              <w:jc w:val="center"/>
              <w:rPr>
                <w:rFonts w:hint="eastAsia" w:ascii="宋体" w:hAnsi="宋体" w:eastAsia="宋体" w:cs="宋体"/>
                <w:bCs/>
                <w:sz w:val="24"/>
                <w:szCs w:val="24"/>
              </w:rPr>
            </w:pPr>
            <w:r>
              <w:rPr>
                <w:rFonts w:hint="eastAsia" w:ascii="宋体" w:hAnsi="宋体" w:eastAsia="宋体" w:cs="宋体"/>
                <w:bCs/>
                <w:sz w:val="24"/>
                <w:szCs w:val="24"/>
              </w:rPr>
              <w:t>7</w:t>
            </w:r>
          </w:p>
        </w:tc>
        <w:tc>
          <w:tcPr>
            <w:tcW w:w="2739" w:type="pct"/>
            <w:gridSpan w:val="2"/>
            <w:vAlign w:val="center"/>
          </w:tcPr>
          <w:p w14:paraId="4BFEDF36">
            <w:pPr>
              <w:adjustRightInd w:val="0"/>
              <w:spacing w:line="300" w:lineRule="auto"/>
              <w:jc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需执行的国家相关标准、行业标准、地方标准或者其他标准、规范。</w:t>
            </w:r>
          </w:p>
        </w:tc>
        <w:tc>
          <w:tcPr>
            <w:tcW w:w="1867" w:type="pct"/>
            <w:vAlign w:val="center"/>
          </w:tcPr>
          <w:p w14:paraId="0BC5F79B">
            <w:pPr>
              <w:adjustRightInd w:val="0"/>
              <w:spacing w:line="300" w:lineRule="auto"/>
              <w:rPr>
                <w:rFonts w:hint="eastAsia" w:ascii="宋体" w:hAnsi="宋体" w:eastAsia="宋体" w:cs="宋体"/>
                <w:sz w:val="24"/>
                <w:szCs w:val="24"/>
                <w:lang w:bidi="en-US"/>
              </w:rPr>
            </w:pPr>
            <w:r>
              <w:rPr>
                <w:rFonts w:hint="eastAsia" w:ascii="宋体" w:hAnsi="宋体" w:eastAsia="宋体" w:cs="宋体"/>
                <w:sz w:val="24"/>
                <w:szCs w:val="24"/>
                <w:lang w:bidi="en-US"/>
              </w:rPr>
              <w:t>详见技术要求部分</w:t>
            </w:r>
          </w:p>
        </w:tc>
      </w:tr>
      <w:tr w14:paraId="6077E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392" w:type="pct"/>
            <w:vAlign w:val="center"/>
          </w:tcPr>
          <w:p w14:paraId="7D943D24">
            <w:pPr>
              <w:adjustRightInd w:val="0"/>
              <w:spacing w:line="300" w:lineRule="auto"/>
              <w:jc w:val="center"/>
              <w:rPr>
                <w:rFonts w:hint="eastAsia" w:ascii="宋体" w:hAnsi="宋体" w:eastAsia="宋体" w:cs="宋体"/>
                <w:bCs/>
                <w:sz w:val="24"/>
                <w:szCs w:val="24"/>
              </w:rPr>
            </w:pPr>
            <w:r>
              <w:rPr>
                <w:rFonts w:hint="eastAsia" w:ascii="宋体" w:hAnsi="宋体" w:eastAsia="宋体" w:cs="宋体"/>
                <w:bCs/>
                <w:sz w:val="24"/>
                <w:szCs w:val="24"/>
              </w:rPr>
              <w:t>8</w:t>
            </w:r>
          </w:p>
        </w:tc>
        <w:tc>
          <w:tcPr>
            <w:tcW w:w="2739" w:type="pct"/>
            <w:gridSpan w:val="2"/>
            <w:vAlign w:val="center"/>
          </w:tcPr>
          <w:p w14:paraId="3AFA9267">
            <w:pPr>
              <w:adjustRightInd w:val="0"/>
              <w:spacing w:line="300" w:lineRule="auto"/>
              <w:jc w:val="center"/>
              <w:rPr>
                <w:rFonts w:hint="eastAsia" w:ascii="宋体" w:hAnsi="宋体" w:eastAsia="宋体" w:cs="宋体"/>
                <w:kern w:val="0"/>
                <w:sz w:val="24"/>
                <w:szCs w:val="24"/>
                <w:lang w:bidi="ar"/>
              </w:rPr>
            </w:pPr>
            <w:r>
              <w:rPr>
                <w:rFonts w:hint="eastAsia" w:ascii="宋体" w:hAnsi="宋体" w:eastAsia="宋体" w:cs="宋体"/>
                <w:bCs/>
                <w:sz w:val="24"/>
                <w:szCs w:val="24"/>
              </w:rPr>
              <w:t>其他内容（如有）</w:t>
            </w:r>
          </w:p>
        </w:tc>
        <w:tc>
          <w:tcPr>
            <w:tcW w:w="1867" w:type="pct"/>
            <w:vAlign w:val="center"/>
          </w:tcPr>
          <w:p w14:paraId="39CF4ADE">
            <w:pPr>
              <w:adjustRightInd w:val="0"/>
              <w:spacing w:line="300" w:lineRule="auto"/>
              <w:rPr>
                <w:rFonts w:hint="eastAsia" w:ascii="宋体" w:hAnsi="宋体" w:eastAsia="宋体" w:cs="宋体"/>
                <w:sz w:val="24"/>
                <w:szCs w:val="24"/>
                <w:lang w:bidi="en-US"/>
              </w:rPr>
            </w:pPr>
            <w:r>
              <w:rPr>
                <w:rFonts w:hint="eastAsia" w:ascii="宋体" w:hAnsi="宋体" w:eastAsia="宋体" w:cs="宋体"/>
                <w:sz w:val="24"/>
                <w:szCs w:val="24"/>
                <w:lang w:bidi="en-US"/>
              </w:rPr>
              <w:t>无</w:t>
            </w:r>
          </w:p>
        </w:tc>
      </w:tr>
    </w:tbl>
    <w:p w14:paraId="738451F0">
      <w:pPr>
        <w:keepNext/>
        <w:keepLines/>
        <w:widowControl w:val="0"/>
        <w:numPr>
          <w:ilvl w:val="0"/>
          <w:numId w:val="3"/>
        </w:numPr>
        <w:spacing w:before="0" w:after="0" w:line="360" w:lineRule="auto"/>
        <w:ind w:left="425" w:hanging="425"/>
        <w:jc w:val="both"/>
        <w:outlineLvl w:val="3"/>
        <w:rPr>
          <w:rFonts w:hint="eastAsia" w:ascii="宋体" w:hAnsi="宋体" w:eastAsia="宋体" w:cs="宋体"/>
          <w:b/>
          <w:kern w:val="2"/>
          <w:sz w:val="24"/>
          <w:szCs w:val="24"/>
          <w:lang w:val="zh-CN" w:eastAsia="zh-CN" w:bidi="ar-SA"/>
        </w:rPr>
      </w:pPr>
      <w:bookmarkStart w:id="4" w:name="_Toc242972581"/>
      <w:r>
        <w:rPr>
          <w:rFonts w:hint="eastAsia" w:ascii="宋体" w:hAnsi="宋体" w:eastAsia="宋体" w:cs="宋体"/>
          <w:b/>
          <w:kern w:val="2"/>
          <w:sz w:val="24"/>
          <w:szCs w:val="24"/>
          <w:lang w:val="zh-CN" w:eastAsia="zh-CN" w:bidi="ar-SA"/>
        </w:rPr>
        <w:t>国家相关行政主管部门颁布的强制标准、规范</w:t>
      </w:r>
      <w:bookmarkEnd w:id="4"/>
    </w:p>
    <w:p w14:paraId="3648552E">
      <w:pPr>
        <w:widowControl w:val="0"/>
        <w:spacing w:line="360" w:lineRule="auto"/>
        <w:ind w:firstLine="480" w:firstLineChars="200"/>
        <w:jc w:val="both"/>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en-US" w:eastAsia="zh-CN" w:bidi="ar-SA"/>
        </w:rPr>
        <w:t>《关于推行住院分娩政策范围内医疗费用“零自付”的通知(试行)》</w:t>
      </w:r>
    </w:p>
    <w:p w14:paraId="0FF89C42">
      <w:pPr>
        <w:keepNext/>
        <w:keepLines/>
        <w:widowControl w:val="0"/>
        <w:spacing w:before="0" w:after="0" w:line="360" w:lineRule="auto"/>
        <w:jc w:val="left"/>
        <w:outlineLvl w:val="2"/>
        <w:rPr>
          <w:rFonts w:hint="eastAsia" w:ascii="仿宋" w:hAnsi="仿宋" w:eastAsia="仿宋" w:cs="仿宋"/>
          <w:b/>
          <w:bCs/>
          <w:kern w:val="2"/>
          <w:sz w:val="32"/>
          <w:szCs w:val="32"/>
          <w:lang w:val="en-US" w:eastAsia="zh-CN" w:bidi="ar-SA"/>
        </w:rPr>
      </w:pPr>
      <w:bookmarkStart w:id="5" w:name="_Toc242972582"/>
      <w:r>
        <w:rPr>
          <w:rFonts w:hint="eastAsia" w:ascii="仿宋" w:hAnsi="仿宋" w:eastAsia="仿宋" w:cs="仿宋"/>
          <w:b/>
          <w:bCs/>
          <w:kern w:val="2"/>
          <w:sz w:val="32"/>
          <w:szCs w:val="32"/>
          <w:lang w:val="en-US" w:eastAsia="zh-CN" w:bidi="ar-SA"/>
        </w:rPr>
        <w:t>二、技术要求</w:t>
      </w:r>
      <w:bookmarkEnd w:id="5"/>
    </w:p>
    <w:p w14:paraId="4F8F3B96">
      <w:pPr>
        <w:keepNext/>
        <w:keepLines/>
        <w:widowControl w:val="0"/>
        <w:numPr>
          <w:ilvl w:val="0"/>
          <w:numId w:val="4"/>
        </w:numPr>
        <w:adjustRightInd w:val="0"/>
        <w:snapToGrid w:val="0"/>
        <w:spacing w:before="0" w:after="0" w:line="360" w:lineRule="auto"/>
        <w:ind w:firstLine="482" w:firstLineChars="200"/>
        <w:jc w:val="left"/>
        <w:outlineLvl w:val="3"/>
        <w:rPr>
          <w:rFonts w:hint="eastAsia" w:ascii="宋体" w:hAnsi="宋体" w:eastAsia="宋体" w:cs="宋体"/>
          <w:b/>
          <w:bCs/>
          <w:kern w:val="2"/>
          <w:sz w:val="24"/>
          <w:szCs w:val="24"/>
          <w:lang w:val="zh-CN" w:eastAsia="zh-CN" w:bidi="ar-SA"/>
        </w:rPr>
      </w:pPr>
      <w:bookmarkStart w:id="6" w:name="_Toc242972583"/>
      <w:r>
        <w:rPr>
          <w:rFonts w:hint="eastAsia" w:ascii="宋体" w:hAnsi="宋体" w:eastAsia="宋体" w:cs="宋体"/>
          <w:b/>
          <w:bCs/>
          <w:kern w:val="2"/>
          <w:sz w:val="24"/>
          <w:szCs w:val="24"/>
          <w:lang w:val="zh-CN" w:eastAsia="zh-CN" w:bidi="ar-SA"/>
        </w:rPr>
        <w:t>采购内容清单</w:t>
      </w:r>
      <w:bookmarkEnd w:id="6"/>
    </w:p>
    <w:tbl>
      <w:tblPr>
        <w:tblStyle w:val="3"/>
        <w:tblpPr w:leftFromText="180" w:rightFromText="180" w:vertAnchor="text" w:horzAnchor="page" w:tblpX="1376" w:tblpY="479"/>
        <w:tblOverlap w:val="never"/>
        <w:tblW w:w="93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5"/>
        <w:gridCol w:w="8265"/>
      </w:tblGrid>
      <w:tr w14:paraId="7EFB4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105" w:type="dxa"/>
          </w:tcPr>
          <w:p w14:paraId="44EDB864">
            <w:pPr>
              <w:rPr>
                <w:rFonts w:hint="eastAsia" w:ascii="宋体" w:hAnsi="宋体" w:eastAsia="宋体" w:cs="宋体"/>
                <w:sz w:val="24"/>
                <w:szCs w:val="24"/>
              </w:rPr>
            </w:pPr>
            <w:r>
              <w:rPr>
                <w:rFonts w:hint="eastAsia" w:ascii="宋体" w:hAnsi="宋体" w:eastAsia="宋体" w:cs="宋体"/>
                <w:sz w:val="24"/>
                <w:szCs w:val="24"/>
              </w:rPr>
              <w:t>类别</w:t>
            </w:r>
          </w:p>
        </w:tc>
        <w:tc>
          <w:tcPr>
            <w:tcW w:w="8265" w:type="dxa"/>
          </w:tcPr>
          <w:p w14:paraId="6EC7B86E">
            <w:pPr>
              <w:jc w:val="center"/>
              <w:rPr>
                <w:rFonts w:hint="eastAsia" w:ascii="宋体" w:hAnsi="宋体" w:eastAsia="宋体" w:cs="宋体"/>
                <w:sz w:val="24"/>
                <w:szCs w:val="24"/>
              </w:rPr>
            </w:pPr>
            <w:r>
              <w:rPr>
                <w:rFonts w:hint="eastAsia" w:ascii="宋体" w:hAnsi="宋体" w:eastAsia="宋体" w:cs="宋体"/>
                <w:sz w:val="24"/>
                <w:szCs w:val="24"/>
              </w:rPr>
              <w:t>功能说明</w:t>
            </w:r>
          </w:p>
        </w:tc>
      </w:tr>
      <w:tr w14:paraId="45A95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1105" w:type="dxa"/>
            <w:vMerge w:val="restart"/>
            <w:vAlign w:val="center"/>
          </w:tcPr>
          <w:p w14:paraId="08F5B6BC">
            <w:pPr>
              <w:jc w:val="center"/>
              <w:rPr>
                <w:rFonts w:hint="eastAsia" w:ascii="宋体" w:hAnsi="宋体" w:eastAsia="宋体" w:cs="宋体"/>
                <w:sz w:val="24"/>
                <w:szCs w:val="24"/>
              </w:rPr>
            </w:pPr>
            <w:r>
              <w:rPr>
                <w:rFonts w:hint="eastAsia" w:ascii="宋体" w:hAnsi="宋体" w:eastAsia="宋体" w:cs="宋体"/>
                <w:sz w:val="24"/>
                <w:szCs w:val="24"/>
              </w:rPr>
              <w:t>研发</w:t>
            </w:r>
          </w:p>
        </w:tc>
        <w:tc>
          <w:tcPr>
            <w:tcW w:w="8265" w:type="dxa"/>
          </w:tcPr>
          <w:p w14:paraId="5570062A">
            <w:pPr>
              <w:rPr>
                <w:rFonts w:hint="eastAsia" w:ascii="宋体" w:hAnsi="宋体" w:eastAsia="宋体" w:cs="宋体"/>
                <w:sz w:val="24"/>
                <w:szCs w:val="24"/>
              </w:rPr>
            </w:pPr>
            <w:r>
              <w:rPr>
                <w:rFonts w:hint="eastAsia" w:ascii="宋体" w:hAnsi="宋体" w:eastAsia="宋体" w:cs="宋体"/>
                <w:sz w:val="24"/>
                <w:szCs w:val="24"/>
              </w:rPr>
              <w:t>生育包基础功能开发：新增生育套餐打包菜单，扩展药品/耗材、险种类、待遇类型、生育类别等字段的规则判断与配置</w:t>
            </w:r>
          </w:p>
        </w:tc>
      </w:tr>
      <w:tr w14:paraId="01FB6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1105" w:type="dxa"/>
            <w:vMerge w:val="continue"/>
          </w:tcPr>
          <w:p w14:paraId="0CA64F18">
            <w:pPr>
              <w:rPr>
                <w:rFonts w:hint="eastAsia" w:ascii="宋体" w:hAnsi="宋体" w:eastAsia="宋体" w:cs="宋体"/>
                <w:sz w:val="24"/>
                <w:szCs w:val="24"/>
              </w:rPr>
            </w:pPr>
          </w:p>
        </w:tc>
        <w:tc>
          <w:tcPr>
            <w:tcW w:w="8265" w:type="dxa"/>
            <w:vAlign w:val="center"/>
          </w:tcPr>
          <w:p w14:paraId="6334F72D">
            <w:pPr>
              <w:rPr>
                <w:rFonts w:hint="eastAsia" w:ascii="宋体" w:hAnsi="宋体" w:eastAsia="宋体" w:cs="宋体"/>
                <w:sz w:val="24"/>
                <w:szCs w:val="24"/>
              </w:rPr>
            </w:pPr>
            <w:r>
              <w:rPr>
                <w:rFonts w:hint="eastAsia" w:ascii="宋体" w:hAnsi="宋体" w:eastAsia="宋体" w:cs="宋体"/>
                <w:sz w:val="24"/>
                <w:szCs w:val="24"/>
              </w:rPr>
              <w:t>电子病历通过接口把生育包和相关附加信息传给his，实现生育包自动匹配与项目范围确认</w:t>
            </w:r>
          </w:p>
        </w:tc>
      </w:tr>
      <w:tr w14:paraId="5B4BD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1105" w:type="dxa"/>
            <w:vMerge w:val="continue"/>
          </w:tcPr>
          <w:p w14:paraId="23B892D5">
            <w:pPr>
              <w:rPr>
                <w:rFonts w:hint="eastAsia" w:ascii="宋体" w:hAnsi="宋体" w:eastAsia="宋体" w:cs="宋体"/>
                <w:sz w:val="24"/>
                <w:szCs w:val="24"/>
              </w:rPr>
            </w:pPr>
          </w:p>
        </w:tc>
        <w:tc>
          <w:tcPr>
            <w:tcW w:w="8265" w:type="dxa"/>
          </w:tcPr>
          <w:p w14:paraId="7AE5C1E1">
            <w:pPr>
              <w:rPr>
                <w:rFonts w:hint="eastAsia" w:ascii="宋体" w:hAnsi="宋体" w:eastAsia="宋体" w:cs="宋体"/>
                <w:sz w:val="24"/>
                <w:szCs w:val="24"/>
              </w:rPr>
            </w:pPr>
            <w:r>
              <w:rPr>
                <w:rFonts w:hint="eastAsia" w:ascii="宋体" w:hAnsi="宋体" w:eastAsia="宋体" w:cs="宋体"/>
                <w:sz w:val="24"/>
                <w:szCs w:val="24"/>
              </w:rPr>
              <w:t>生育包费用上传流水管理：开发生育包上传流水表，实现包内费用ID/项目ID的记录、回写、撤销一致性处理</w:t>
            </w:r>
          </w:p>
        </w:tc>
      </w:tr>
      <w:tr w14:paraId="7646D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1105" w:type="dxa"/>
            <w:vMerge w:val="continue"/>
          </w:tcPr>
          <w:p w14:paraId="07856FAE">
            <w:pPr>
              <w:rPr>
                <w:rFonts w:hint="eastAsia" w:ascii="宋体" w:hAnsi="宋体" w:eastAsia="宋体" w:cs="宋体"/>
                <w:sz w:val="24"/>
                <w:szCs w:val="24"/>
              </w:rPr>
            </w:pPr>
          </w:p>
        </w:tc>
        <w:tc>
          <w:tcPr>
            <w:tcW w:w="8265" w:type="dxa"/>
          </w:tcPr>
          <w:p w14:paraId="251A1FE8">
            <w:pPr>
              <w:rPr>
                <w:rFonts w:hint="eastAsia" w:ascii="宋体" w:hAnsi="宋体" w:eastAsia="宋体" w:cs="宋体"/>
                <w:sz w:val="24"/>
                <w:szCs w:val="24"/>
              </w:rPr>
            </w:pPr>
            <w:r>
              <w:rPr>
                <w:rFonts w:hint="eastAsia" w:ascii="宋体" w:hAnsi="宋体" w:eastAsia="宋体" w:cs="宋体"/>
                <w:sz w:val="24"/>
                <w:szCs w:val="24"/>
              </w:rPr>
              <w:t>结算标识字段扩展：医保结算表新增生育包结算标识字段，支撑后续清单打印、付费类型判断</w:t>
            </w:r>
          </w:p>
        </w:tc>
      </w:tr>
      <w:tr w14:paraId="1F1EE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1105" w:type="dxa"/>
            <w:vMerge w:val="continue"/>
          </w:tcPr>
          <w:p w14:paraId="176DFCFD">
            <w:pPr>
              <w:rPr>
                <w:rFonts w:hint="eastAsia" w:ascii="宋体" w:hAnsi="宋体" w:eastAsia="宋体" w:cs="宋体"/>
                <w:sz w:val="24"/>
                <w:szCs w:val="24"/>
              </w:rPr>
            </w:pPr>
          </w:p>
        </w:tc>
        <w:tc>
          <w:tcPr>
            <w:tcW w:w="8265" w:type="dxa"/>
          </w:tcPr>
          <w:p w14:paraId="718F3CDD">
            <w:pPr>
              <w:rPr>
                <w:rFonts w:hint="eastAsia" w:ascii="宋体" w:hAnsi="宋体" w:eastAsia="宋体" w:cs="宋体"/>
                <w:sz w:val="24"/>
                <w:szCs w:val="24"/>
              </w:rPr>
            </w:pPr>
            <w:r>
              <w:rPr>
                <w:rFonts w:hint="eastAsia" w:ascii="宋体" w:hAnsi="宋体" w:eastAsia="宋体" w:cs="宋体"/>
                <w:sz w:val="24"/>
                <w:szCs w:val="24"/>
              </w:rPr>
              <w:t>差额计算与发票字段开发：医保结算表新增医保额定报销差额字段，用于统计报表与发票打印</w:t>
            </w:r>
          </w:p>
        </w:tc>
      </w:tr>
      <w:tr w14:paraId="2DA37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1105" w:type="dxa"/>
            <w:vMerge w:val="continue"/>
          </w:tcPr>
          <w:p w14:paraId="002AAE55">
            <w:pPr>
              <w:rPr>
                <w:rFonts w:hint="eastAsia" w:ascii="宋体" w:hAnsi="宋体" w:eastAsia="宋体" w:cs="宋体"/>
                <w:sz w:val="24"/>
                <w:szCs w:val="24"/>
              </w:rPr>
            </w:pPr>
          </w:p>
        </w:tc>
        <w:tc>
          <w:tcPr>
            <w:tcW w:w="8265" w:type="dxa"/>
          </w:tcPr>
          <w:p w14:paraId="006E9700">
            <w:pPr>
              <w:rPr>
                <w:rFonts w:hint="eastAsia" w:ascii="宋体" w:hAnsi="宋体" w:eastAsia="宋体" w:cs="宋体"/>
                <w:sz w:val="24"/>
                <w:szCs w:val="24"/>
              </w:rPr>
            </w:pPr>
            <w:r>
              <w:rPr>
                <w:rFonts w:hint="eastAsia" w:ascii="宋体" w:hAnsi="宋体" w:eastAsia="宋体" w:cs="宋体"/>
                <w:sz w:val="24"/>
                <w:szCs w:val="24"/>
              </w:rPr>
              <w:t>系统联调与单元测试：各模块单元测试、接口联调、边界场景验证</w:t>
            </w:r>
          </w:p>
        </w:tc>
      </w:tr>
      <w:tr w14:paraId="53878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105" w:type="dxa"/>
            <w:vMerge w:val="restart"/>
            <w:vAlign w:val="center"/>
          </w:tcPr>
          <w:p w14:paraId="74089C1C">
            <w:pPr>
              <w:jc w:val="center"/>
              <w:rPr>
                <w:rFonts w:hint="eastAsia" w:ascii="宋体" w:hAnsi="宋体" w:eastAsia="宋体" w:cs="宋体"/>
                <w:sz w:val="24"/>
                <w:szCs w:val="24"/>
              </w:rPr>
            </w:pPr>
            <w:r>
              <w:rPr>
                <w:rFonts w:hint="eastAsia" w:ascii="宋体" w:hAnsi="宋体" w:eastAsia="宋体" w:cs="宋体"/>
                <w:sz w:val="24"/>
                <w:szCs w:val="24"/>
              </w:rPr>
              <w:t>实施</w:t>
            </w:r>
          </w:p>
        </w:tc>
        <w:tc>
          <w:tcPr>
            <w:tcW w:w="8265" w:type="dxa"/>
          </w:tcPr>
          <w:p w14:paraId="0959C281">
            <w:pPr>
              <w:rPr>
                <w:rFonts w:hint="eastAsia" w:ascii="宋体" w:hAnsi="宋体" w:eastAsia="宋体" w:cs="宋体"/>
                <w:sz w:val="24"/>
                <w:szCs w:val="24"/>
              </w:rPr>
            </w:pPr>
            <w:r>
              <w:rPr>
                <w:rFonts w:hint="eastAsia" w:ascii="宋体" w:hAnsi="宋体" w:eastAsia="宋体" w:cs="宋体"/>
                <w:sz w:val="24"/>
                <w:szCs w:val="24"/>
              </w:rPr>
              <w:t>医院生育包配置与维护：协助医院完成生育包项目维护、规则配置、基础数据录入</w:t>
            </w:r>
          </w:p>
        </w:tc>
      </w:tr>
      <w:tr w14:paraId="48BED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1105" w:type="dxa"/>
            <w:vMerge w:val="continue"/>
          </w:tcPr>
          <w:p w14:paraId="11E206CC">
            <w:pPr>
              <w:rPr>
                <w:rFonts w:hint="eastAsia" w:ascii="宋体" w:hAnsi="宋体" w:eastAsia="宋体" w:cs="宋体"/>
                <w:sz w:val="24"/>
                <w:szCs w:val="24"/>
              </w:rPr>
            </w:pPr>
          </w:p>
        </w:tc>
        <w:tc>
          <w:tcPr>
            <w:tcW w:w="8265" w:type="dxa"/>
          </w:tcPr>
          <w:p w14:paraId="272B71F0">
            <w:pPr>
              <w:rPr>
                <w:rFonts w:hint="eastAsia" w:ascii="宋体" w:hAnsi="宋体" w:eastAsia="宋体" w:cs="宋体"/>
                <w:sz w:val="24"/>
                <w:szCs w:val="24"/>
              </w:rPr>
            </w:pPr>
            <w:r>
              <w:rPr>
                <w:rFonts w:hint="eastAsia" w:ascii="宋体" w:hAnsi="宋体" w:eastAsia="宋体" w:cs="宋体"/>
                <w:sz w:val="24"/>
                <w:szCs w:val="24"/>
              </w:rPr>
              <w:t>现场结算测试与验证：多场景（正常结算、撤销结算、差额结算）下的现场结算流程测试</w:t>
            </w:r>
          </w:p>
        </w:tc>
      </w:tr>
      <w:tr w14:paraId="523C8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1105" w:type="dxa"/>
            <w:vMerge w:val="continue"/>
          </w:tcPr>
          <w:p w14:paraId="5C24F20D">
            <w:pPr>
              <w:rPr>
                <w:rFonts w:hint="eastAsia" w:ascii="宋体" w:hAnsi="宋体" w:eastAsia="宋体" w:cs="宋体"/>
                <w:sz w:val="24"/>
                <w:szCs w:val="24"/>
              </w:rPr>
            </w:pPr>
          </w:p>
        </w:tc>
        <w:tc>
          <w:tcPr>
            <w:tcW w:w="8265" w:type="dxa"/>
          </w:tcPr>
          <w:p w14:paraId="1066C912">
            <w:pPr>
              <w:rPr>
                <w:rFonts w:hint="eastAsia" w:ascii="宋体" w:hAnsi="宋体" w:eastAsia="宋体" w:cs="宋体"/>
                <w:sz w:val="24"/>
                <w:szCs w:val="24"/>
              </w:rPr>
            </w:pPr>
            <w:r>
              <w:rPr>
                <w:rFonts w:hint="eastAsia" w:ascii="宋体" w:hAnsi="宋体" w:eastAsia="宋体" w:cs="宋体"/>
                <w:sz w:val="24"/>
                <w:szCs w:val="24"/>
              </w:rPr>
              <w:t>医保接口联调与验收：与医保平台的接口联调、数据上传验证、DRG数据交互测试</w:t>
            </w:r>
          </w:p>
        </w:tc>
      </w:tr>
      <w:tr w14:paraId="56D31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1105" w:type="dxa"/>
            <w:vMerge w:val="continue"/>
          </w:tcPr>
          <w:p w14:paraId="76A25EED">
            <w:pPr>
              <w:rPr>
                <w:rFonts w:hint="eastAsia" w:ascii="宋体" w:hAnsi="宋体" w:eastAsia="宋体" w:cs="宋体"/>
                <w:sz w:val="24"/>
                <w:szCs w:val="24"/>
              </w:rPr>
            </w:pPr>
          </w:p>
        </w:tc>
        <w:tc>
          <w:tcPr>
            <w:tcW w:w="8265" w:type="dxa"/>
          </w:tcPr>
          <w:p w14:paraId="4E20AE7F">
            <w:pPr>
              <w:rPr>
                <w:rFonts w:hint="eastAsia" w:ascii="宋体" w:hAnsi="宋体" w:eastAsia="宋体" w:cs="宋体"/>
                <w:sz w:val="24"/>
                <w:szCs w:val="24"/>
              </w:rPr>
            </w:pPr>
            <w:r>
              <w:rPr>
                <w:rFonts w:hint="eastAsia" w:ascii="宋体" w:hAnsi="宋体" w:eastAsia="宋体" w:cs="宋体"/>
                <w:sz w:val="24"/>
                <w:szCs w:val="24"/>
              </w:rPr>
              <w:t>操作培训与支持：对医院用户进行系统操作培训，试运行期间技术支持与功能优化</w:t>
            </w:r>
          </w:p>
        </w:tc>
      </w:tr>
    </w:tbl>
    <w:p w14:paraId="7B122613">
      <w:pPr>
        <w:spacing w:line="360" w:lineRule="auto"/>
        <w:jc w:val="left"/>
        <w:rPr>
          <w:rFonts w:hint="eastAsia" w:ascii="@仿宋_GB2312" w:hAnsi="@仿宋_GB2312" w:eastAsia="@仿宋_GB2312" w:cs="@仿宋_GB2312"/>
          <w:szCs w:val="20"/>
          <w:lang w:val="zh-CN"/>
        </w:rPr>
      </w:pPr>
    </w:p>
    <w:p w14:paraId="024BAC5B">
      <w:pPr>
        <w:keepNext/>
        <w:keepLines/>
        <w:widowControl w:val="0"/>
        <w:adjustRightInd w:val="0"/>
        <w:snapToGrid w:val="0"/>
        <w:spacing w:before="0" w:after="0" w:line="360" w:lineRule="auto"/>
        <w:ind w:firstLine="482" w:firstLineChars="200"/>
        <w:jc w:val="left"/>
        <w:outlineLvl w:val="3"/>
        <w:rPr>
          <w:rFonts w:hint="eastAsia" w:ascii="宋体" w:hAnsi="宋体" w:eastAsia="宋体" w:cs="宋体"/>
          <w:b/>
          <w:bCs/>
          <w:kern w:val="2"/>
          <w:sz w:val="24"/>
          <w:szCs w:val="24"/>
          <w:lang w:val="zh-CN" w:eastAsia="zh-CN" w:bidi="ar-SA"/>
        </w:rPr>
      </w:pPr>
      <w:bookmarkStart w:id="7" w:name="_Toc242972584"/>
      <w:r>
        <w:rPr>
          <w:rFonts w:hint="eastAsia" w:ascii="宋体" w:hAnsi="宋体" w:eastAsia="宋体" w:cs="宋体"/>
          <w:b/>
          <w:bCs/>
          <w:kern w:val="2"/>
          <w:sz w:val="24"/>
          <w:szCs w:val="24"/>
          <w:lang w:val="zh-CN" w:eastAsia="zh-CN" w:bidi="ar-SA"/>
        </w:rPr>
        <w:t>（</w:t>
      </w:r>
      <w:r>
        <w:rPr>
          <w:rFonts w:hint="eastAsia" w:ascii="宋体" w:hAnsi="宋体" w:eastAsia="宋体" w:cs="宋体"/>
          <w:b/>
          <w:bCs/>
          <w:kern w:val="2"/>
          <w:sz w:val="24"/>
          <w:szCs w:val="24"/>
          <w:lang w:val="en-US" w:eastAsia="zh-CN" w:bidi="ar-SA"/>
        </w:rPr>
        <w:t>二</w:t>
      </w:r>
      <w:r>
        <w:rPr>
          <w:rFonts w:hint="eastAsia" w:ascii="宋体" w:hAnsi="宋体" w:eastAsia="宋体" w:cs="宋体"/>
          <w:b/>
          <w:bCs/>
          <w:kern w:val="2"/>
          <w:sz w:val="24"/>
          <w:szCs w:val="24"/>
          <w:lang w:val="zh-CN" w:eastAsia="zh-CN" w:bidi="ar-SA"/>
        </w:rPr>
        <w:t>）项目需求</w:t>
      </w:r>
      <w:bookmarkEnd w:id="7"/>
    </w:p>
    <w:p w14:paraId="2C1FBF81">
      <w:pPr>
        <w:adjustRightInd w:val="0"/>
        <w:snapToGrid w:val="0"/>
        <w:spacing w:line="360" w:lineRule="auto"/>
        <w:ind w:left="480" w:firstLine="482" w:firstLineChars="200"/>
        <w:jc w:val="left"/>
        <w:outlineLvl w:val="4"/>
        <w:rPr>
          <w:rFonts w:hint="eastAsia" w:ascii="仿宋" w:hAnsi="仿宋" w:eastAsia="仿宋" w:cs="仿宋"/>
          <w:b/>
          <w:bCs/>
          <w:sz w:val="24"/>
          <w:szCs w:val="24"/>
        </w:rPr>
      </w:pPr>
      <w:r>
        <w:rPr>
          <w:rFonts w:hint="eastAsia" w:ascii="宋体" w:hAnsi="宋体" w:eastAsia="宋体" w:cs="宋体"/>
          <w:b/>
          <w:bCs/>
          <w:sz w:val="24"/>
          <w:szCs w:val="24"/>
        </w:rPr>
        <w:t>1.政策对标需求</w:t>
      </w:r>
    </w:p>
    <w:p w14:paraId="5902844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须符合国家、省市相关政策文件及法律法规要求，包括但不限于《信息安全技术网络安全等级保护基本要求》2.0版本、《中华人民共和国网络安全法》《中华人民共和国个人信息保护法》《关于开展定点医疗机构信息系统达标工作的通知》。</w:t>
      </w:r>
    </w:p>
    <w:p w14:paraId="509A0637">
      <w:pPr>
        <w:adjustRightInd w:val="0"/>
        <w:snapToGrid w:val="0"/>
        <w:spacing w:line="360" w:lineRule="auto"/>
        <w:ind w:left="480" w:firstLine="482" w:firstLineChars="200"/>
        <w:jc w:val="left"/>
        <w:outlineLvl w:val="4"/>
        <w:rPr>
          <w:rFonts w:hint="eastAsia" w:ascii="宋体" w:hAnsi="宋体" w:eastAsia="宋体" w:cs="宋体"/>
          <w:b/>
          <w:bCs/>
          <w:sz w:val="24"/>
          <w:szCs w:val="24"/>
        </w:rPr>
      </w:pPr>
      <w:r>
        <w:rPr>
          <w:rFonts w:hint="eastAsia" w:ascii="宋体" w:hAnsi="宋体" w:eastAsia="宋体" w:cs="宋体"/>
          <w:b/>
          <w:bCs/>
          <w:sz w:val="24"/>
          <w:szCs w:val="24"/>
        </w:rPr>
        <w:t>2.详细技术要求</w:t>
      </w:r>
    </w:p>
    <w:tbl>
      <w:tblPr>
        <w:tblStyle w:val="3"/>
        <w:tblpPr w:leftFromText="180" w:rightFromText="180" w:vertAnchor="text" w:horzAnchor="page" w:tblpX="1376" w:tblpY="479"/>
        <w:tblOverlap w:val="never"/>
        <w:tblW w:w="93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5"/>
        <w:gridCol w:w="8265"/>
      </w:tblGrid>
      <w:tr w14:paraId="169A4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105" w:type="dxa"/>
          </w:tcPr>
          <w:p w14:paraId="3FED4512">
            <w:pPr>
              <w:jc w:val="left"/>
              <w:rPr>
                <w:rFonts w:hint="eastAsia" w:ascii="宋体" w:hAnsi="宋体" w:eastAsia="宋体" w:cs="宋体"/>
                <w:color w:val="000000"/>
                <w:sz w:val="24"/>
                <w:szCs w:val="24"/>
              </w:rPr>
            </w:pPr>
            <w:r>
              <w:rPr>
                <w:rFonts w:hint="eastAsia" w:ascii="宋体" w:hAnsi="宋体" w:eastAsia="宋体" w:cs="宋体"/>
                <w:color w:val="000000"/>
                <w:sz w:val="24"/>
                <w:szCs w:val="24"/>
              </w:rPr>
              <w:t>类别</w:t>
            </w:r>
          </w:p>
        </w:tc>
        <w:tc>
          <w:tcPr>
            <w:tcW w:w="8265" w:type="dxa"/>
          </w:tcPr>
          <w:p w14:paraId="0C7F9C42">
            <w:pPr>
              <w:jc w:val="left"/>
              <w:rPr>
                <w:rFonts w:hint="eastAsia" w:ascii="宋体" w:hAnsi="宋体" w:eastAsia="宋体" w:cs="宋体"/>
                <w:color w:val="000000"/>
                <w:sz w:val="24"/>
                <w:szCs w:val="24"/>
              </w:rPr>
            </w:pPr>
            <w:r>
              <w:rPr>
                <w:rFonts w:hint="eastAsia" w:ascii="宋体" w:hAnsi="宋体" w:eastAsia="宋体" w:cs="宋体"/>
                <w:color w:val="000000"/>
                <w:sz w:val="24"/>
                <w:szCs w:val="24"/>
              </w:rPr>
              <w:t>功能说明</w:t>
            </w:r>
          </w:p>
        </w:tc>
      </w:tr>
      <w:tr w14:paraId="3E093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1105" w:type="dxa"/>
            <w:vMerge w:val="restart"/>
            <w:vAlign w:val="center"/>
          </w:tcPr>
          <w:p w14:paraId="377686AD">
            <w:pPr>
              <w:jc w:val="left"/>
              <w:rPr>
                <w:rFonts w:hint="eastAsia" w:ascii="宋体" w:hAnsi="宋体" w:eastAsia="宋体" w:cs="宋体"/>
                <w:color w:val="000000"/>
                <w:sz w:val="24"/>
                <w:szCs w:val="24"/>
              </w:rPr>
            </w:pPr>
            <w:r>
              <w:rPr>
                <w:rFonts w:hint="eastAsia" w:ascii="宋体" w:hAnsi="宋体" w:eastAsia="宋体" w:cs="宋体"/>
                <w:color w:val="000000"/>
                <w:sz w:val="24"/>
                <w:szCs w:val="24"/>
              </w:rPr>
              <w:t>研发</w:t>
            </w:r>
          </w:p>
        </w:tc>
        <w:tc>
          <w:tcPr>
            <w:tcW w:w="8265" w:type="dxa"/>
          </w:tcPr>
          <w:p w14:paraId="59196374">
            <w:pPr>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rPr>
              <w:t>▲</w:t>
            </w:r>
            <w:r>
              <w:rPr>
                <w:rFonts w:hint="eastAsia" w:ascii="宋体" w:hAnsi="宋体" w:eastAsia="宋体" w:cs="宋体"/>
                <w:color w:val="000000"/>
                <w:sz w:val="24"/>
                <w:szCs w:val="24"/>
              </w:rPr>
              <w:t>生育包基础功能开发：新增生育套餐打包菜单，扩展药品/耗材、险种类、待遇类型、生育类别等字段的规则判断与配置</w:t>
            </w:r>
          </w:p>
        </w:tc>
      </w:tr>
      <w:tr w14:paraId="158DE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1105" w:type="dxa"/>
            <w:vMerge w:val="continue"/>
          </w:tcPr>
          <w:p w14:paraId="0203F837">
            <w:pPr>
              <w:jc w:val="left"/>
              <w:rPr>
                <w:rFonts w:hint="eastAsia" w:ascii="宋体" w:hAnsi="宋体" w:eastAsia="宋体" w:cs="宋体"/>
                <w:color w:val="000000"/>
                <w:sz w:val="24"/>
                <w:szCs w:val="24"/>
              </w:rPr>
            </w:pPr>
          </w:p>
        </w:tc>
        <w:tc>
          <w:tcPr>
            <w:tcW w:w="8265" w:type="dxa"/>
            <w:vAlign w:val="center"/>
          </w:tcPr>
          <w:p w14:paraId="6D55F466">
            <w:pPr>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rPr>
              <w:t>▲</w:t>
            </w:r>
            <w:r>
              <w:rPr>
                <w:rFonts w:hint="eastAsia" w:ascii="宋体" w:hAnsi="宋体" w:eastAsia="宋体" w:cs="宋体"/>
                <w:color w:val="000000"/>
                <w:sz w:val="24"/>
                <w:szCs w:val="24"/>
              </w:rPr>
              <w:t>电子病历通过接口把生育包和相关附加信息传给his，实现生育包自动匹配与项目范围确认</w:t>
            </w:r>
          </w:p>
        </w:tc>
      </w:tr>
      <w:tr w14:paraId="5A64B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1105" w:type="dxa"/>
            <w:vMerge w:val="continue"/>
          </w:tcPr>
          <w:p w14:paraId="7F5E3676">
            <w:pPr>
              <w:jc w:val="left"/>
              <w:rPr>
                <w:rFonts w:hint="eastAsia" w:ascii="宋体" w:hAnsi="宋体" w:eastAsia="宋体" w:cs="宋体"/>
                <w:color w:val="000000"/>
                <w:sz w:val="24"/>
                <w:szCs w:val="24"/>
              </w:rPr>
            </w:pPr>
          </w:p>
        </w:tc>
        <w:tc>
          <w:tcPr>
            <w:tcW w:w="8265" w:type="dxa"/>
          </w:tcPr>
          <w:p w14:paraId="5C5C4234">
            <w:pPr>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rPr>
              <w:t>▲</w:t>
            </w:r>
            <w:r>
              <w:rPr>
                <w:rFonts w:hint="eastAsia" w:ascii="宋体" w:hAnsi="宋体" w:eastAsia="宋体" w:cs="宋体"/>
                <w:color w:val="000000"/>
                <w:sz w:val="24"/>
                <w:szCs w:val="24"/>
              </w:rPr>
              <w:t>生育包费用上传流水管理：开发生育包上传流水表，实现包内费用ID/项目ID的记录、回写、撤销一致性处理</w:t>
            </w:r>
          </w:p>
        </w:tc>
      </w:tr>
      <w:tr w14:paraId="4B701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105" w:type="dxa"/>
            <w:vMerge w:val="continue"/>
          </w:tcPr>
          <w:p w14:paraId="63C51F9A">
            <w:pPr>
              <w:jc w:val="left"/>
              <w:rPr>
                <w:rFonts w:hint="eastAsia" w:ascii="宋体" w:hAnsi="宋体" w:eastAsia="宋体" w:cs="宋体"/>
                <w:color w:val="000000"/>
                <w:sz w:val="24"/>
                <w:szCs w:val="24"/>
              </w:rPr>
            </w:pPr>
          </w:p>
        </w:tc>
        <w:tc>
          <w:tcPr>
            <w:tcW w:w="8265" w:type="dxa"/>
          </w:tcPr>
          <w:p w14:paraId="1C5A3356">
            <w:pPr>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rPr>
              <w:t>▲</w:t>
            </w:r>
            <w:r>
              <w:rPr>
                <w:rFonts w:hint="eastAsia" w:ascii="宋体" w:hAnsi="宋体" w:eastAsia="宋体" w:cs="宋体"/>
                <w:color w:val="000000"/>
                <w:sz w:val="24"/>
                <w:szCs w:val="24"/>
              </w:rPr>
              <w:t>结算标识字段扩展：医保结算表新增生育包结算标识字段，支撑后续清单打印、付费类型判断</w:t>
            </w:r>
          </w:p>
        </w:tc>
      </w:tr>
      <w:tr w14:paraId="46939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1105" w:type="dxa"/>
            <w:vMerge w:val="continue"/>
          </w:tcPr>
          <w:p w14:paraId="26FA4FFA">
            <w:pPr>
              <w:jc w:val="left"/>
              <w:rPr>
                <w:rFonts w:hint="eastAsia" w:ascii="宋体" w:hAnsi="宋体" w:eastAsia="宋体" w:cs="宋体"/>
                <w:color w:val="000000"/>
                <w:sz w:val="24"/>
                <w:szCs w:val="24"/>
              </w:rPr>
            </w:pPr>
          </w:p>
        </w:tc>
        <w:tc>
          <w:tcPr>
            <w:tcW w:w="8265" w:type="dxa"/>
          </w:tcPr>
          <w:p w14:paraId="6BDADE6B">
            <w:pPr>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rPr>
              <w:t>▲</w:t>
            </w:r>
            <w:r>
              <w:rPr>
                <w:rFonts w:hint="eastAsia" w:ascii="宋体" w:hAnsi="宋体" w:eastAsia="宋体" w:cs="宋体"/>
                <w:color w:val="000000"/>
                <w:sz w:val="24"/>
                <w:szCs w:val="24"/>
              </w:rPr>
              <w:t>差额计算与发票字段开发：医保结算表新增医保额定报销差额字段，用于统计报表与发票打印</w:t>
            </w:r>
          </w:p>
        </w:tc>
      </w:tr>
      <w:tr w14:paraId="7E3F9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1105" w:type="dxa"/>
            <w:vMerge w:val="continue"/>
          </w:tcPr>
          <w:p w14:paraId="27E19DFB">
            <w:pPr>
              <w:jc w:val="left"/>
              <w:rPr>
                <w:rFonts w:hint="eastAsia" w:ascii="宋体" w:hAnsi="宋体" w:eastAsia="宋体" w:cs="宋体"/>
                <w:color w:val="000000"/>
                <w:sz w:val="24"/>
                <w:szCs w:val="24"/>
              </w:rPr>
            </w:pPr>
          </w:p>
        </w:tc>
        <w:tc>
          <w:tcPr>
            <w:tcW w:w="8265" w:type="dxa"/>
          </w:tcPr>
          <w:p w14:paraId="15768100">
            <w:pPr>
              <w:jc w:val="left"/>
              <w:rPr>
                <w:rFonts w:hint="eastAsia" w:ascii="宋体" w:hAnsi="宋体" w:eastAsia="宋体" w:cs="宋体"/>
                <w:color w:val="000000"/>
                <w:sz w:val="24"/>
                <w:szCs w:val="24"/>
              </w:rPr>
            </w:pPr>
            <w:r>
              <w:rPr>
                <w:rFonts w:hint="eastAsia" w:ascii="宋体" w:hAnsi="宋体" w:eastAsia="宋体" w:cs="宋体"/>
                <w:color w:val="000000"/>
                <w:sz w:val="24"/>
                <w:szCs w:val="24"/>
              </w:rPr>
              <w:t>系统联调与单元测试：各模块单元测试、接口联调、边界场景验证</w:t>
            </w:r>
          </w:p>
        </w:tc>
      </w:tr>
      <w:tr w14:paraId="3D85E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105" w:type="dxa"/>
            <w:vMerge w:val="restart"/>
            <w:vAlign w:val="center"/>
          </w:tcPr>
          <w:p w14:paraId="6870E029">
            <w:pPr>
              <w:jc w:val="left"/>
              <w:rPr>
                <w:rFonts w:hint="eastAsia" w:ascii="宋体" w:hAnsi="宋体" w:eastAsia="宋体" w:cs="宋体"/>
                <w:color w:val="000000"/>
                <w:sz w:val="24"/>
                <w:szCs w:val="24"/>
              </w:rPr>
            </w:pPr>
            <w:r>
              <w:rPr>
                <w:rFonts w:hint="eastAsia" w:ascii="宋体" w:hAnsi="宋体" w:eastAsia="宋体" w:cs="宋体"/>
                <w:color w:val="000000"/>
                <w:sz w:val="24"/>
                <w:szCs w:val="24"/>
              </w:rPr>
              <w:t>实施</w:t>
            </w:r>
          </w:p>
        </w:tc>
        <w:tc>
          <w:tcPr>
            <w:tcW w:w="8265" w:type="dxa"/>
          </w:tcPr>
          <w:p w14:paraId="4D547E81">
            <w:pPr>
              <w:jc w:val="left"/>
              <w:rPr>
                <w:rFonts w:hint="eastAsia" w:ascii="宋体" w:hAnsi="宋体" w:eastAsia="宋体" w:cs="宋体"/>
                <w:color w:val="000000"/>
                <w:sz w:val="24"/>
                <w:szCs w:val="24"/>
              </w:rPr>
            </w:pPr>
            <w:r>
              <w:rPr>
                <w:rFonts w:hint="eastAsia" w:ascii="宋体" w:hAnsi="宋体" w:eastAsia="宋体" w:cs="宋体"/>
                <w:color w:val="000000"/>
                <w:sz w:val="24"/>
                <w:szCs w:val="24"/>
              </w:rPr>
              <w:t>医院生育包配置与维护：协助医院完成生育包项目维护、规则配置、基础数据录入</w:t>
            </w:r>
          </w:p>
        </w:tc>
      </w:tr>
      <w:tr w14:paraId="0437F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1105" w:type="dxa"/>
            <w:vMerge w:val="continue"/>
          </w:tcPr>
          <w:p w14:paraId="55E71C20">
            <w:pPr>
              <w:jc w:val="left"/>
              <w:rPr>
                <w:rFonts w:hint="eastAsia" w:ascii="宋体" w:hAnsi="宋体" w:eastAsia="宋体" w:cs="宋体"/>
                <w:color w:val="000000"/>
                <w:sz w:val="24"/>
                <w:szCs w:val="24"/>
              </w:rPr>
            </w:pPr>
          </w:p>
        </w:tc>
        <w:tc>
          <w:tcPr>
            <w:tcW w:w="8265" w:type="dxa"/>
          </w:tcPr>
          <w:p w14:paraId="1E2ECB3F">
            <w:pPr>
              <w:jc w:val="left"/>
              <w:rPr>
                <w:rFonts w:hint="eastAsia" w:ascii="宋体" w:hAnsi="宋体" w:eastAsia="宋体" w:cs="宋体"/>
                <w:color w:val="000000"/>
                <w:sz w:val="24"/>
                <w:szCs w:val="24"/>
              </w:rPr>
            </w:pPr>
            <w:r>
              <w:rPr>
                <w:rFonts w:hint="eastAsia" w:ascii="宋体" w:hAnsi="宋体" w:eastAsia="宋体" w:cs="宋体"/>
                <w:color w:val="000000"/>
                <w:sz w:val="24"/>
                <w:szCs w:val="24"/>
              </w:rPr>
              <w:t>现场结算测试与验证：多场景（正常结算、撤销结算、差额结算）下的现场结算流程测试</w:t>
            </w:r>
          </w:p>
        </w:tc>
      </w:tr>
      <w:tr w14:paraId="070E5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1105" w:type="dxa"/>
            <w:vMerge w:val="continue"/>
          </w:tcPr>
          <w:p w14:paraId="73308961">
            <w:pPr>
              <w:jc w:val="left"/>
              <w:rPr>
                <w:rFonts w:hint="eastAsia" w:ascii="宋体" w:hAnsi="宋体" w:eastAsia="宋体" w:cs="宋体"/>
                <w:color w:val="000000"/>
                <w:sz w:val="24"/>
                <w:szCs w:val="24"/>
              </w:rPr>
            </w:pPr>
          </w:p>
        </w:tc>
        <w:tc>
          <w:tcPr>
            <w:tcW w:w="8265" w:type="dxa"/>
          </w:tcPr>
          <w:p w14:paraId="28134A19">
            <w:pPr>
              <w:jc w:val="left"/>
              <w:rPr>
                <w:rFonts w:hint="eastAsia" w:ascii="宋体" w:hAnsi="宋体" w:eastAsia="宋体" w:cs="宋体"/>
                <w:color w:val="000000"/>
                <w:sz w:val="24"/>
                <w:szCs w:val="24"/>
              </w:rPr>
            </w:pPr>
            <w:r>
              <w:rPr>
                <w:rFonts w:hint="eastAsia" w:ascii="宋体" w:hAnsi="宋体" w:eastAsia="宋体" w:cs="宋体"/>
                <w:color w:val="000000"/>
                <w:sz w:val="24"/>
                <w:szCs w:val="24"/>
              </w:rPr>
              <w:t>医保接口联调与验收：与医保平台的接口联调、数据上传验证、DRG数据交互测试</w:t>
            </w:r>
          </w:p>
        </w:tc>
      </w:tr>
      <w:tr w14:paraId="3E225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1105" w:type="dxa"/>
            <w:vMerge w:val="continue"/>
          </w:tcPr>
          <w:p w14:paraId="4D4472CF">
            <w:pPr>
              <w:jc w:val="left"/>
              <w:rPr>
                <w:rFonts w:hint="eastAsia" w:ascii="宋体" w:hAnsi="宋体" w:eastAsia="宋体" w:cs="宋体"/>
                <w:color w:val="000000"/>
                <w:sz w:val="24"/>
                <w:szCs w:val="24"/>
              </w:rPr>
            </w:pPr>
          </w:p>
        </w:tc>
        <w:tc>
          <w:tcPr>
            <w:tcW w:w="8265" w:type="dxa"/>
          </w:tcPr>
          <w:p w14:paraId="55F549F0">
            <w:pPr>
              <w:jc w:val="left"/>
              <w:rPr>
                <w:rFonts w:hint="eastAsia" w:ascii="宋体" w:hAnsi="宋体" w:eastAsia="宋体" w:cs="宋体"/>
                <w:color w:val="000000"/>
                <w:sz w:val="24"/>
                <w:szCs w:val="24"/>
              </w:rPr>
            </w:pPr>
            <w:r>
              <w:rPr>
                <w:rFonts w:hint="eastAsia" w:ascii="宋体" w:hAnsi="宋体" w:eastAsia="宋体" w:cs="宋体"/>
                <w:color w:val="000000"/>
                <w:sz w:val="24"/>
                <w:szCs w:val="24"/>
              </w:rPr>
              <w:t>操作培训与支持：对医院用户进行系统操作培训，试运行期间技术支持与功能优化</w:t>
            </w:r>
          </w:p>
        </w:tc>
      </w:tr>
    </w:tbl>
    <w:p w14:paraId="461A3E6A">
      <w:pPr>
        <w:keepNext/>
        <w:keepLines/>
        <w:widowControl w:val="0"/>
        <w:adjustRightInd w:val="0"/>
        <w:snapToGrid w:val="0"/>
        <w:spacing w:before="0" w:after="0" w:line="360" w:lineRule="auto"/>
        <w:ind w:firstLine="482" w:firstLineChars="200"/>
        <w:jc w:val="left"/>
        <w:outlineLvl w:val="3"/>
        <w:rPr>
          <w:rFonts w:hint="eastAsia" w:ascii="宋体" w:hAnsi="宋体" w:eastAsia="宋体" w:cs="宋体"/>
          <w:b/>
          <w:kern w:val="2"/>
          <w:sz w:val="24"/>
          <w:szCs w:val="24"/>
          <w:lang w:val="zh-CN" w:eastAsia="zh-CN" w:bidi="ar-SA"/>
        </w:rPr>
      </w:pPr>
      <w:bookmarkStart w:id="8" w:name="_Toc242972585"/>
      <w:r>
        <w:rPr>
          <w:rFonts w:hint="eastAsia" w:ascii="宋体" w:hAnsi="宋体" w:eastAsia="宋体" w:cs="宋体"/>
          <w:b/>
          <w:kern w:val="2"/>
          <w:sz w:val="24"/>
          <w:szCs w:val="24"/>
          <w:lang w:val="zh-CN" w:eastAsia="zh-CN" w:bidi="ar-SA"/>
        </w:rPr>
        <w:t>（</w:t>
      </w:r>
      <w:r>
        <w:rPr>
          <w:rFonts w:hint="eastAsia" w:ascii="宋体" w:hAnsi="宋体" w:eastAsia="宋体" w:cs="宋体"/>
          <w:b/>
          <w:kern w:val="2"/>
          <w:sz w:val="24"/>
          <w:szCs w:val="24"/>
          <w:lang w:val="en-US" w:eastAsia="zh-CN" w:bidi="ar-SA"/>
        </w:rPr>
        <w:t>三</w:t>
      </w:r>
      <w:r>
        <w:rPr>
          <w:rFonts w:hint="eastAsia" w:ascii="宋体" w:hAnsi="宋体" w:eastAsia="宋体" w:cs="宋体"/>
          <w:b/>
          <w:kern w:val="2"/>
          <w:sz w:val="24"/>
          <w:szCs w:val="24"/>
          <w:lang w:val="zh-CN" w:eastAsia="zh-CN" w:bidi="ar-SA"/>
        </w:rPr>
        <w:t>）项目建设要求</w:t>
      </w:r>
      <w:bookmarkEnd w:id="8"/>
    </w:p>
    <w:p w14:paraId="77D93B3A">
      <w:pPr>
        <w:numPr>
          <w:ilvl w:val="1"/>
          <w:numId w:val="5"/>
        </w:numPr>
        <w:adjustRightInd w:val="0"/>
        <w:snapToGrid w:val="0"/>
        <w:spacing w:line="360" w:lineRule="auto"/>
        <w:ind w:left="0" w:firstLine="400"/>
        <w:jc w:val="left"/>
        <w:outlineLvl w:val="4"/>
        <w:rPr>
          <w:rFonts w:hint="eastAsia" w:ascii="宋体" w:hAnsi="宋体" w:eastAsia="宋体" w:cs="宋体"/>
          <w:b/>
          <w:bCs/>
          <w:sz w:val="24"/>
          <w:szCs w:val="24"/>
        </w:rPr>
      </w:pPr>
      <w:r>
        <w:rPr>
          <w:rFonts w:hint="eastAsia" w:ascii="宋体" w:hAnsi="宋体" w:eastAsia="宋体" w:cs="宋体"/>
          <w:b/>
          <w:bCs/>
          <w:sz w:val="24"/>
          <w:szCs w:val="24"/>
        </w:rPr>
        <w:t>服务承诺</w:t>
      </w:r>
    </w:p>
    <w:p w14:paraId="63C20E4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★项目实施要求：系统上线期间，驻点项目组人员不少于1人，驻点项目组人员须能组织his数据及调试上传程序等。（投标人针对上述要求提供承诺函）</w:t>
      </w:r>
    </w:p>
    <w:p w14:paraId="26AB0E37">
      <w:pPr>
        <w:widowControl/>
        <w:tabs>
          <w:tab w:val="left" w:pos="420"/>
        </w:tabs>
        <w:adjustRightInd w:val="0"/>
        <w:snapToGrid w:val="0"/>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sz w:val="24"/>
          <w:szCs w:val="24"/>
        </w:rPr>
        <w:t>★</w:t>
      </w:r>
      <w:r>
        <w:rPr>
          <w:rFonts w:hint="eastAsia" w:ascii="宋体" w:hAnsi="宋体" w:eastAsia="宋体" w:cs="宋体"/>
          <w:kern w:val="0"/>
          <w:sz w:val="24"/>
          <w:szCs w:val="24"/>
        </w:rPr>
        <w:t>售后服务承诺：本项目质保期至少1年，</w:t>
      </w:r>
      <w:r>
        <w:rPr>
          <w:rFonts w:hint="eastAsia" w:ascii="宋体" w:hAnsi="宋体" w:eastAsia="宋体" w:cs="宋体"/>
          <w:sz w:val="24"/>
          <w:szCs w:val="24"/>
        </w:rPr>
        <w:t>质保期内提供驻点维护、升级、故障排除、性能调优、技术咨询等服务。对故障处理所采取的措施至少满足：1小时以内进行响应，2小时以内到达现场，4小时以内解决问题。常驻人员不少于1人。</w:t>
      </w:r>
      <w:r>
        <w:rPr>
          <w:rFonts w:hint="eastAsia" w:ascii="宋体" w:hAnsi="宋体" w:eastAsia="宋体" w:cs="宋体"/>
          <w:kern w:val="0"/>
          <w:sz w:val="24"/>
          <w:szCs w:val="24"/>
        </w:rPr>
        <w:t>投标人需支持接入除原有业务系统之外的其他系统，配合完成医院对网络信息安全管理所提出的相关技术要求和管理要求。</w:t>
      </w:r>
      <w:r>
        <w:rPr>
          <w:rFonts w:hint="eastAsia" w:ascii="宋体" w:hAnsi="宋体" w:eastAsia="宋体" w:cs="宋体"/>
          <w:b/>
          <w:bCs/>
          <w:kern w:val="0"/>
          <w:sz w:val="24"/>
          <w:szCs w:val="24"/>
        </w:rPr>
        <w:t>质保期结束后需明确后续售后服务取费比例，不得超过采购金额的8%（</w:t>
      </w:r>
      <w:r>
        <w:rPr>
          <w:rFonts w:hint="eastAsia" w:ascii="宋体" w:hAnsi="宋体" w:eastAsia="宋体" w:cs="宋体"/>
          <w:b/>
          <w:bCs/>
          <w:kern w:val="0"/>
          <w:sz w:val="24"/>
          <w:szCs w:val="24"/>
          <w:u w:val="single"/>
        </w:rPr>
        <w:t>若超过8%视为无效响应，作无效投标处理</w:t>
      </w:r>
      <w:r>
        <w:rPr>
          <w:rFonts w:hint="eastAsia" w:ascii="宋体" w:hAnsi="宋体" w:eastAsia="宋体" w:cs="宋体"/>
          <w:b/>
          <w:bCs/>
          <w:kern w:val="0"/>
          <w:sz w:val="24"/>
          <w:szCs w:val="24"/>
        </w:rPr>
        <w:t>）</w:t>
      </w:r>
      <w:r>
        <w:rPr>
          <w:rFonts w:hint="eastAsia" w:ascii="宋体" w:hAnsi="宋体" w:eastAsia="宋体" w:cs="宋体"/>
          <w:kern w:val="0"/>
          <w:sz w:val="24"/>
          <w:szCs w:val="24"/>
        </w:rPr>
        <w:t>。</w:t>
      </w:r>
      <w:r>
        <w:rPr>
          <w:rFonts w:hint="eastAsia" w:ascii="宋体" w:hAnsi="宋体" w:eastAsia="宋体" w:cs="宋体"/>
          <w:sz w:val="24"/>
          <w:szCs w:val="24"/>
        </w:rPr>
        <w:t>（投标人针对上述要求提供承诺函）</w:t>
      </w:r>
    </w:p>
    <w:p w14:paraId="0B4D2BF3">
      <w:pPr>
        <w:numPr>
          <w:ilvl w:val="1"/>
          <w:numId w:val="5"/>
        </w:numPr>
        <w:adjustRightInd w:val="0"/>
        <w:snapToGrid w:val="0"/>
        <w:spacing w:line="360" w:lineRule="auto"/>
        <w:ind w:left="0" w:firstLine="400"/>
        <w:jc w:val="left"/>
        <w:outlineLvl w:val="4"/>
        <w:rPr>
          <w:rFonts w:hint="eastAsia" w:ascii="宋体" w:hAnsi="宋体" w:eastAsia="宋体" w:cs="宋体"/>
          <w:b/>
          <w:bCs/>
          <w:sz w:val="24"/>
          <w:szCs w:val="24"/>
        </w:rPr>
      </w:pPr>
      <w:r>
        <w:rPr>
          <w:rFonts w:hint="eastAsia" w:ascii="宋体" w:hAnsi="宋体" w:eastAsia="宋体" w:cs="宋体"/>
          <w:b/>
          <w:bCs/>
          <w:sz w:val="24"/>
          <w:szCs w:val="24"/>
        </w:rPr>
        <w:t>安装需求</w:t>
      </w:r>
    </w:p>
    <w:p w14:paraId="2A9BC632">
      <w:pPr>
        <w:widowControl/>
        <w:tabs>
          <w:tab w:val="left" w:pos="420"/>
        </w:tabs>
        <w:adjustRightInd w:val="0"/>
        <w:snapToGrid w:val="0"/>
        <w:spacing w:line="360" w:lineRule="auto"/>
        <w:ind w:left="560"/>
        <w:jc w:val="left"/>
        <w:rPr>
          <w:rFonts w:hint="eastAsia" w:ascii="宋体" w:hAnsi="宋体" w:eastAsia="宋体" w:cs="宋体"/>
          <w:kern w:val="0"/>
          <w:sz w:val="24"/>
          <w:szCs w:val="24"/>
        </w:rPr>
      </w:pPr>
      <w:r>
        <w:rPr>
          <w:rFonts w:hint="eastAsia" w:ascii="宋体" w:hAnsi="宋体" w:eastAsia="宋体" w:cs="宋体"/>
          <w:kern w:val="0"/>
          <w:sz w:val="24"/>
          <w:szCs w:val="24"/>
        </w:rPr>
        <w:t>系统的安装使用不限制客户端数量，不限制系统使用的用户数。</w:t>
      </w:r>
    </w:p>
    <w:p w14:paraId="350F397E">
      <w:pPr>
        <w:numPr>
          <w:ilvl w:val="1"/>
          <w:numId w:val="5"/>
        </w:numPr>
        <w:adjustRightInd w:val="0"/>
        <w:snapToGrid w:val="0"/>
        <w:spacing w:line="360" w:lineRule="auto"/>
        <w:ind w:left="0" w:firstLine="400"/>
        <w:jc w:val="left"/>
        <w:outlineLvl w:val="4"/>
        <w:rPr>
          <w:rFonts w:hint="eastAsia" w:ascii="仿宋" w:hAnsi="仿宋" w:eastAsia="仿宋" w:cs="仿宋"/>
          <w:b/>
          <w:bCs/>
          <w:sz w:val="24"/>
          <w:szCs w:val="24"/>
        </w:rPr>
      </w:pPr>
      <w:r>
        <w:rPr>
          <w:rFonts w:hint="eastAsia" w:ascii="宋体" w:hAnsi="宋体" w:eastAsia="宋体" w:cs="宋体"/>
          <w:b/>
          <w:bCs/>
          <w:sz w:val="24"/>
          <w:szCs w:val="24"/>
        </w:rPr>
        <w:t>项目培训要求</w:t>
      </w:r>
    </w:p>
    <w:p w14:paraId="241D5BA2">
      <w:pPr>
        <w:widowControl/>
        <w:tabs>
          <w:tab w:val="left" w:pos="420"/>
        </w:tabs>
        <w:adjustRightInd w:val="0"/>
        <w:snapToGrid w:val="0"/>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针对业务应用系统，供应商提供对系统使用人员、系统运行维护管理人员等不同对象的培训计划，地点场所由采购人提供；主要面向医院信息管理技术人员（至少2名），使其具备独立进行系统日常维护、故障的诊断与处理等方面的系统日常维护培训。</w:t>
      </w:r>
    </w:p>
    <w:p w14:paraId="15512CEC">
      <w:pPr>
        <w:numPr>
          <w:ilvl w:val="1"/>
          <w:numId w:val="5"/>
        </w:numPr>
        <w:adjustRightInd w:val="0"/>
        <w:snapToGrid w:val="0"/>
        <w:spacing w:line="360" w:lineRule="auto"/>
        <w:ind w:left="0" w:firstLine="400"/>
        <w:jc w:val="left"/>
        <w:outlineLvl w:val="4"/>
        <w:rPr>
          <w:rFonts w:hint="eastAsia" w:ascii="仿宋" w:hAnsi="仿宋" w:eastAsia="仿宋" w:cs="仿宋"/>
          <w:b/>
          <w:bCs/>
          <w:sz w:val="24"/>
          <w:szCs w:val="24"/>
        </w:rPr>
      </w:pPr>
      <w:r>
        <w:rPr>
          <w:rFonts w:hint="eastAsia" w:ascii="宋体" w:hAnsi="宋体" w:eastAsia="宋体" w:cs="宋体"/>
          <w:b/>
          <w:bCs/>
          <w:sz w:val="24"/>
          <w:szCs w:val="24"/>
        </w:rPr>
        <w:t>项目验收标准</w:t>
      </w:r>
    </w:p>
    <w:p w14:paraId="66350FC1">
      <w:pPr>
        <w:widowControl/>
        <w:numPr>
          <w:ilvl w:val="0"/>
          <w:numId w:val="6"/>
        </w:numPr>
        <w:tabs>
          <w:tab w:val="left" w:pos="420"/>
        </w:tabs>
        <w:adjustRightInd w:val="0"/>
        <w:snapToGrid w:val="0"/>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验收条件：系统所有功能上线完毕，并通过医保局信息化专项达标工作。</w:t>
      </w:r>
    </w:p>
    <w:p w14:paraId="1CAA5DE5">
      <w:pPr>
        <w:widowControl/>
        <w:tabs>
          <w:tab w:val="left" w:pos="420"/>
        </w:tabs>
        <w:adjustRightInd w:val="0"/>
        <w:snapToGrid w:val="0"/>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（2）本项目要求开放数据库结构、外接系统的接口源代码，以及规则库的配置逻辑及工具，相关文档按要求已交付完毕，且对于系统接口源代码及数据库结构文档的说明真实。</w:t>
      </w:r>
    </w:p>
    <w:p w14:paraId="4EE0DA8E">
      <w:pPr>
        <w:widowControl/>
        <w:tabs>
          <w:tab w:val="left" w:pos="420"/>
        </w:tabs>
        <w:adjustRightInd w:val="0"/>
        <w:snapToGrid w:val="0"/>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（3）已交付接入设备的配置参数清单、操作文档及手册。</w:t>
      </w:r>
    </w:p>
    <w:p w14:paraId="232D548D">
      <w:pPr>
        <w:widowControl/>
        <w:tabs>
          <w:tab w:val="left" w:pos="420"/>
        </w:tabs>
        <w:adjustRightInd w:val="0"/>
        <w:snapToGrid w:val="0"/>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（4）项目实施人员需要对院方参与人员进行技术交底及培训。</w:t>
      </w:r>
    </w:p>
    <w:p w14:paraId="1D116C55">
      <w:pPr>
        <w:widowControl/>
        <w:tabs>
          <w:tab w:val="left" w:pos="420"/>
        </w:tabs>
        <w:adjustRightInd w:val="0"/>
        <w:snapToGrid w:val="0"/>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（5）所部署的应用服务器、数据库服务器及系统通过网络信息安全检测，且承诺后续提供支持配合院方持续做好网络安全相关措施的实施，不再产生费用。</w:t>
      </w:r>
    </w:p>
    <w:p w14:paraId="4075BAD1">
      <w:pPr>
        <w:widowControl/>
        <w:tabs>
          <w:tab w:val="left" w:pos="420"/>
        </w:tabs>
        <w:adjustRightInd w:val="0"/>
        <w:snapToGrid w:val="0"/>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（6）投标人须保证所提供的产品具有合法的版权或使用权，本项目采购的产品，如在本项目范围内使用过程中出现版权或使用权纠纷，应由中标人负责，采购人和采购机构不承担任何责任。</w:t>
      </w:r>
    </w:p>
    <w:p w14:paraId="7F8CB7C4">
      <w:pPr>
        <w:widowControl/>
        <w:shd w:val="clear" w:color="auto" w:fill="FFFFFF"/>
        <w:adjustRightInd w:val="0"/>
        <w:spacing w:beforeAutospacing="0" w:afterAutospacing="0" w:line="360" w:lineRule="auto"/>
        <w:ind w:firstLine="480" w:firstLineChars="200"/>
        <w:jc w:val="both"/>
        <w:rPr>
          <w:rFonts w:hint="eastAsia" w:ascii="宋体" w:hAnsi="宋体" w:eastAsia="宋体" w:cs="宋体"/>
          <w:i/>
          <w:iCs/>
          <w:color w:val="FF0000"/>
          <w:kern w:val="0"/>
          <w:sz w:val="24"/>
          <w:szCs w:val="24"/>
          <w:lang w:val="en-US" w:eastAsia="zh-CN" w:bidi="ar-SA"/>
        </w:rPr>
      </w:pPr>
    </w:p>
    <w:p w14:paraId="5472E438">
      <w:pPr>
        <w:keepNext/>
        <w:keepLines/>
        <w:widowControl w:val="0"/>
        <w:spacing w:before="0" w:after="0" w:line="360" w:lineRule="auto"/>
        <w:jc w:val="left"/>
        <w:outlineLvl w:val="2"/>
        <w:rPr>
          <w:rFonts w:hint="eastAsia" w:ascii="仿宋" w:hAnsi="仿宋" w:eastAsia="仿宋" w:cs="仿宋"/>
          <w:b/>
          <w:bCs/>
          <w:kern w:val="2"/>
          <w:sz w:val="32"/>
          <w:szCs w:val="32"/>
          <w:lang w:val="en-US" w:eastAsia="zh-CN" w:bidi="ar-SA"/>
        </w:rPr>
      </w:pPr>
      <w:bookmarkStart w:id="9" w:name="_Toc242972586"/>
      <w:r>
        <w:rPr>
          <w:rFonts w:hint="eastAsia" w:ascii="仿宋" w:hAnsi="仿宋" w:eastAsia="仿宋" w:cs="仿宋"/>
          <w:b/>
          <w:bCs/>
          <w:kern w:val="2"/>
          <w:sz w:val="32"/>
          <w:szCs w:val="32"/>
          <w:lang w:val="en-US" w:eastAsia="zh-CN" w:bidi="ar-SA"/>
        </w:rPr>
        <w:t>三、商务要求</w:t>
      </w:r>
      <w:bookmarkEnd w:id="9"/>
    </w:p>
    <w:p w14:paraId="56AA28A9">
      <w:pPr>
        <w:snapToGrid w:val="0"/>
        <w:spacing w:line="360" w:lineRule="auto"/>
        <w:ind w:firstLine="482" w:firstLineChars="200"/>
        <w:jc w:val="left"/>
        <w:outlineLvl w:val="3"/>
        <w:rPr>
          <w:rFonts w:hint="eastAsia" w:ascii="宋体" w:hAnsi="宋体" w:eastAsia="宋体" w:cs="宋体"/>
          <w:b/>
          <w:bCs/>
          <w:sz w:val="24"/>
          <w:szCs w:val="24"/>
        </w:rPr>
      </w:pPr>
      <w:bookmarkStart w:id="10" w:name="_Toc242972587"/>
      <w:r>
        <w:rPr>
          <w:rFonts w:hint="eastAsia" w:ascii="宋体" w:hAnsi="宋体" w:eastAsia="宋体" w:cs="宋体"/>
          <w:b/>
          <w:bCs/>
          <w:sz w:val="24"/>
          <w:szCs w:val="24"/>
        </w:rPr>
        <w:t>（一）付款方式</w:t>
      </w:r>
      <w:bookmarkEnd w:id="10"/>
    </w:p>
    <w:p w14:paraId="58E6BFF2">
      <w:pPr>
        <w:spacing w:line="360" w:lineRule="auto"/>
        <w:rPr>
          <w:rFonts w:hint="eastAsia" w:ascii="宋体" w:hAnsi="宋体" w:eastAsia="宋体" w:cs="宋体"/>
          <w:sz w:val="24"/>
          <w:szCs w:val="24"/>
        </w:rPr>
      </w:pPr>
      <w:r>
        <w:rPr>
          <w:rFonts w:hint="eastAsia" w:ascii="仿宋" w:hAnsi="仿宋" w:eastAsia="仿宋" w:cs="仿宋"/>
          <w:sz w:val="24"/>
          <w:szCs w:val="24"/>
        </w:rPr>
        <w:t xml:space="preserve">   </w:t>
      </w:r>
      <w:r>
        <w:rPr>
          <w:rFonts w:hint="eastAsia" w:ascii="仿宋" w:hAnsi="仿宋" w:eastAsia="仿宋" w:cs="仿宋"/>
          <w:color w:val="FF0000"/>
          <w:sz w:val="24"/>
          <w:szCs w:val="24"/>
        </w:rPr>
        <w:t xml:space="preserve"> </w:t>
      </w:r>
      <w:r>
        <w:rPr>
          <w:rFonts w:hint="eastAsia" w:ascii="宋体" w:hAnsi="宋体" w:eastAsia="宋体" w:cs="宋体"/>
          <w:sz w:val="24"/>
          <w:szCs w:val="24"/>
        </w:rPr>
        <w:t>（1）首付款：合同签订完毕，甲方收到乙方开具相应发票后的10个工作日内，甲方向乙方支付合同总金额的50%作为首付款。</w:t>
      </w:r>
    </w:p>
    <w:p w14:paraId="275E9DFA">
      <w:pPr>
        <w:spacing w:line="360" w:lineRule="auto"/>
        <w:ind w:firstLine="480" w:firstLineChars="200"/>
        <w:rPr>
          <w:rFonts w:hint="eastAsia" w:ascii="仿宋" w:hAnsi="仿宋" w:eastAsia="仿宋" w:cs="仿宋"/>
          <w:color w:val="FF0000"/>
          <w:sz w:val="24"/>
          <w:szCs w:val="24"/>
        </w:rPr>
      </w:pPr>
      <w:r>
        <w:rPr>
          <w:rFonts w:hint="eastAsia" w:ascii="宋体" w:hAnsi="宋体" w:eastAsia="宋体" w:cs="宋体"/>
          <w:sz w:val="24"/>
          <w:szCs w:val="24"/>
        </w:rPr>
        <w:t>（2）验收款：系统所有功能上线并稳定运行3个月，进行项目审计，经审计确认后进行项目验收，甲乙双方签署《项目验收报告》且甲方收到乙方开具相应发票后的10个工作日内，甲方支付至总合同审定金额的100%给乙方。</w:t>
      </w:r>
    </w:p>
    <w:p w14:paraId="73DF4B58">
      <w:pPr>
        <w:snapToGrid w:val="0"/>
        <w:spacing w:line="360" w:lineRule="auto"/>
        <w:ind w:firstLine="482" w:firstLineChars="200"/>
        <w:jc w:val="left"/>
        <w:outlineLvl w:val="3"/>
        <w:rPr>
          <w:rFonts w:hint="eastAsia" w:ascii="宋体" w:hAnsi="宋体" w:eastAsia="宋体" w:cs="宋体"/>
          <w:b/>
          <w:bCs/>
          <w:sz w:val="24"/>
          <w:szCs w:val="24"/>
        </w:rPr>
      </w:pPr>
      <w:bookmarkStart w:id="11" w:name="_Toc242972588"/>
      <w:r>
        <w:rPr>
          <w:rFonts w:hint="eastAsia" w:ascii="宋体" w:hAnsi="宋体" w:eastAsia="宋体" w:cs="宋体"/>
          <w:b/>
          <w:bCs/>
          <w:sz w:val="24"/>
          <w:szCs w:val="24"/>
        </w:rPr>
        <w:t>（二）违约责任</w:t>
      </w:r>
      <w:bookmarkEnd w:id="11"/>
    </w:p>
    <w:p w14:paraId="585A72C4">
      <w:pPr>
        <w:widowControl w:val="0"/>
        <w:pBdr>
          <w:top w:val="none" w:color="auto" w:sz="0" w:space="1"/>
          <w:left w:val="none" w:color="auto" w:sz="0" w:space="4"/>
          <w:bottom w:val="none" w:color="auto" w:sz="0" w:space="1"/>
          <w:right w:val="none" w:color="auto" w:sz="0" w:space="4"/>
        </w:pBdr>
        <w:tabs>
          <w:tab w:val="center" w:pos="4153"/>
          <w:tab w:val="right" w:pos="8306"/>
        </w:tabs>
        <w:snapToGrid w:val="0"/>
        <w:spacing w:line="360" w:lineRule="auto"/>
        <w:ind w:firstLine="480" w:firstLineChars="20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（1）乙方签署合同但不提供相应的技术维护服务，或甲方评价乙方服务合格，但拒绝支付服务费用的情况，视为违约。违约方需向对方支付违约金， 违约金每5个工作日为合同总价的1%，违约金的总额不超过合同总价的10%。</w:t>
      </w:r>
    </w:p>
    <w:p w14:paraId="20F1B687">
      <w:pPr>
        <w:widowControl w:val="0"/>
        <w:pBdr>
          <w:top w:val="none" w:color="auto" w:sz="0" w:space="1"/>
          <w:left w:val="none" w:color="auto" w:sz="0" w:space="4"/>
          <w:bottom w:val="none" w:color="auto" w:sz="0" w:space="1"/>
          <w:right w:val="none" w:color="auto" w:sz="0" w:space="4"/>
        </w:pBdr>
        <w:tabs>
          <w:tab w:val="center" w:pos="4153"/>
          <w:tab w:val="right" w:pos="8306"/>
        </w:tabs>
        <w:snapToGrid w:val="0"/>
        <w:spacing w:line="360" w:lineRule="auto"/>
        <w:ind w:firstLine="480" w:firstLineChars="20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（2）如果非乙方原因或乙方不可抗力因素造成乙方未按期完成工作的，则乙方不承担由此产生的逾期未完成工作的责任。</w:t>
      </w:r>
    </w:p>
    <w:p w14:paraId="69BB209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长城仿宋">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903499"/>
    <w:multiLevelType w:val="singleLevel"/>
    <w:tmpl w:val="88903499"/>
    <w:lvl w:ilvl="0" w:tentative="0">
      <w:start w:val="3"/>
      <w:numFmt w:val="chineseCounting"/>
      <w:suff w:val="space"/>
      <w:lvlText w:val="第%1章"/>
      <w:lvlJc w:val="left"/>
      <w:rPr>
        <w:rFonts w:hint="eastAsia"/>
      </w:rPr>
    </w:lvl>
  </w:abstractNum>
  <w:abstractNum w:abstractNumId="1">
    <w:nsid w:val="A40D5A28"/>
    <w:multiLevelType w:val="singleLevel"/>
    <w:tmpl w:val="A40D5A28"/>
    <w:lvl w:ilvl="0" w:tentative="0">
      <w:start w:val="1"/>
      <w:numFmt w:val="decimal"/>
      <w:suff w:val="nothing"/>
      <w:lvlText w:val="（%1）"/>
      <w:lvlJc w:val="left"/>
    </w:lvl>
  </w:abstractNum>
  <w:abstractNum w:abstractNumId="2">
    <w:nsid w:val="C3C6C0F2"/>
    <w:multiLevelType w:val="multilevel"/>
    <w:tmpl w:val="C3C6C0F2"/>
    <w:lvl w:ilvl="0" w:tentative="0">
      <w:start w:val="1"/>
      <w:numFmt w:val="decimal"/>
      <w:suff w:val="nothing"/>
      <w:lvlText w:val="%1."/>
      <w:lvlJc w:val="left"/>
      <w:pPr>
        <w:ind w:left="425" w:hanging="425"/>
      </w:pPr>
      <w:rPr>
        <w:rFonts w:hint="default"/>
        <w:color w:val="auto"/>
      </w:rPr>
    </w:lvl>
    <w:lvl w:ilvl="1" w:tentative="0">
      <w:start w:val="1"/>
      <w:numFmt w:val="decimal"/>
      <w:suff w:val="nothing"/>
      <w:lvlText w:val="%1.%2."/>
      <w:lvlJc w:val="left"/>
      <w:pPr>
        <w:ind w:left="850" w:hanging="453"/>
      </w:pPr>
      <w:rPr>
        <w:rFonts w:hint="default"/>
        <w:color w:val="0000FF"/>
      </w:rPr>
    </w:lvl>
    <w:lvl w:ilvl="2" w:tentative="0">
      <w:start w:val="1"/>
      <w:numFmt w:val="decimal"/>
      <w:suff w:val="nothing"/>
      <w:lvlText w:val="%1.%2.%3."/>
      <w:lvlJc w:val="left"/>
      <w:pPr>
        <w:ind w:left="1508" w:hanging="708"/>
      </w:pPr>
      <w:rPr>
        <w:rFonts w:hint="default"/>
        <w:color w:val="0000FF"/>
      </w:rPr>
    </w:lvl>
    <w:lvl w:ilvl="3" w:tentative="0">
      <w:start w:val="1"/>
      <w:numFmt w:val="decimal"/>
      <w:suff w:val="nothing"/>
      <w:lvlText w:val="%1.%2.%3.%4."/>
      <w:lvlJc w:val="left"/>
      <w:pPr>
        <w:ind w:left="2053" w:hanging="853"/>
      </w:pPr>
      <w:rPr>
        <w:rFonts w:hint="default"/>
        <w:color w:val="0000FF"/>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3">
    <w:nsid w:val="2C7A402D"/>
    <w:multiLevelType w:val="singleLevel"/>
    <w:tmpl w:val="2C7A402D"/>
    <w:lvl w:ilvl="0" w:tentative="0">
      <w:start w:val="1"/>
      <w:numFmt w:val="chineseCounting"/>
      <w:suff w:val="nothing"/>
      <w:lvlText w:val="（%1）"/>
      <w:lvlJc w:val="left"/>
      <w:rPr>
        <w:rFonts w:hint="eastAsia"/>
      </w:rPr>
    </w:lvl>
  </w:abstractNum>
  <w:abstractNum w:abstractNumId="4">
    <w:nsid w:val="447B6378"/>
    <w:multiLevelType w:val="multilevel"/>
    <w:tmpl w:val="447B6378"/>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6D22F8E"/>
    <w:multiLevelType w:val="multilevel"/>
    <w:tmpl w:val="46D22F8E"/>
    <w:lvl w:ilvl="0" w:tentative="0">
      <w:start w:val="1"/>
      <w:numFmt w:val="chineseCounting"/>
      <w:suff w:val="nothing"/>
      <w:lvlText w:val="%1、"/>
      <w:lvlJc w:val="left"/>
      <w:pPr>
        <w:ind w:left="0" w:firstLine="400"/>
      </w:pPr>
      <w:rPr>
        <w:rFonts w:hint="eastAsia"/>
      </w:rPr>
    </w:lvl>
    <w:lvl w:ilvl="1" w:tentative="0">
      <w:start w:val="1"/>
      <w:numFmt w:val="decimal"/>
      <w:suff w:val="nothing"/>
      <w:lvlText w:val="%2．"/>
      <w:lvlJc w:val="left"/>
      <w:pPr>
        <w:ind w:left="0" w:firstLine="400"/>
      </w:pPr>
      <w:rPr>
        <w:rFonts w:hint="eastAsia"/>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num w:numId="1">
    <w:abstractNumId w:val="0"/>
  </w:num>
  <w:num w:numId="2">
    <w:abstractNumId w:val="4"/>
  </w:num>
  <w:num w:numId="3">
    <w:abstractNumId w:val="2"/>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9D703D"/>
    <w:rsid w:val="189D70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2026-10-22T10:34:00Z</dcterms:created>
  <dc:creator>a</dc:creator>
  <cp:lastModifiedBy>a</cp:lastModifiedBy>
  <dcterms:modified xsi:type="dcterms:W3CDTF">2026-10-22T10:35:33Z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4056E8458F5342B993D2127B65A0FD18_11</vt:lpwstr>
  </property>
  <property fmtid="{D5CDD505-2E9C-101B-9397-08002B2CF9AE}" pid="4" name="KSOTemplateDocerSaveRecord">
    <vt:lpwstr>eyJoZGlkIjoiMWVhNzczYzc1ZjM4MjM2NTg0MjEwOGZiZTNlM2FlMDUiLCJ1c2VySWQiOiIyMjg0NTAyMzkifQ==</vt:lpwstr>
  </property>
</Properties>
</file>